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lanticusLabel"/>
      </w:pPr>
      <w:r>
        <w:t>ECOSYSTEM ATLANTICUS  /  CONTRATO ARQUITECTÓNICO</w:t>
      </w:r>
    </w:p>
    <w:p>
      <w:pPr>
        <w:pStyle w:val="Title"/>
      </w:pPr>
      <w:r>
        <w:t>Composición Web Modular</w:t>
      </w:r>
    </w:p>
    <w:p>
      <w:pPr>
        <w:spacing w:after="260"/>
      </w:pPr>
      <w:r>
        <w:rPr>
          <w:b/>
          <w:color w:val="26425A"/>
          <w:sz w:val="26"/>
        </w:rPr>
        <w:t>WEB-COMPOSITION-001  —  Modular Application Composition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8FAFC"/>
            <w:tcBorders>
              <w:top w:sz="3" w:val="single" w:color="E4E8EC"/>
              <w:left w:sz="18" w:val="single" w:color="C9A24B"/>
              <w:bottom w:sz="3" w:val="single" w:color="E4E8EC"/>
              <w:right w:sz="3" w:val="single" w:color="E4E8EC"/>
            </w:tcBorders>
          </w:tcPr>
          <w:p>
            <w:pPr>
              <w:spacing w:after="40"/>
            </w:pPr>
            <w:r>
              <w:rPr>
                <w:b/>
                <w:color w:val="071522"/>
                <w:sz w:val="20"/>
              </w:rPr>
              <w:t>Principio rector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Atlanticus entrega un runtime Web y piezas explícitamente componibles. Cada aplicación selecciona sólo las capabilities que necesita; una capability no redefine la aplicación completa ni levanta un runtime Web adicional.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071522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768"/>
            <w:shd w:fill="FFFFFF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sz w:val="17"/>
              </w:rPr>
              <w:t>FROZEN · Approved for implementation</w:t>
            </w:r>
          </w:p>
        </w:tc>
      </w:tr>
      <w:tr>
        <w:tc>
          <w:tcPr>
            <w:tcW w:type="dxa" w:w="2592"/>
            <w:shd w:fill="EEF2F5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b/>
                <w:color w:val="071522"/>
                <w:sz w:val="17"/>
              </w:rPr>
              <w:t>Autoridad</w:t>
            </w:r>
          </w:p>
        </w:tc>
        <w:tc>
          <w:tcPr>
            <w:tcW w:type="dxa" w:w="6768"/>
            <w:shd w:fill="FFFFFF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sz w:val="17"/>
              </w:rPr>
              <w:t>moragaga/atlanticus — canónico</w:t>
            </w:r>
          </w:p>
        </w:tc>
      </w:tr>
      <w:tr>
        <w:tc>
          <w:tcPr>
            <w:tcW w:type="dxa" w:w="2592"/>
            <w:shd w:fill="EEF2F5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b/>
                <w:color w:val="071522"/>
                <w:sz w:val="17"/>
              </w:rPr>
              <w:t>Runtime objetivo</w:t>
            </w:r>
          </w:p>
        </w:tc>
        <w:tc>
          <w:tcPr>
            <w:tcW w:type="dxa" w:w="6768"/>
            <w:shd w:fill="FFFFFF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sz w:val="17"/>
              </w:rPr>
              <w:t>Python 3.14.2 · UV · Flask · Dash</w:t>
            </w:r>
          </w:p>
        </w:tc>
      </w:tr>
      <w:tr>
        <w:tc>
          <w:tcPr>
            <w:tcW w:type="dxa" w:w="2592"/>
            <w:shd w:fill="EEF2F5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b/>
                <w:color w:val="071522"/>
                <w:sz w:val="17"/>
              </w:rPr>
              <w:t>Fecha</w:t>
            </w:r>
          </w:p>
        </w:tc>
        <w:tc>
          <w:tcPr>
            <w:tcW w:type="dxa" w:w="6768"/>
            <w:shd w:fill="FFFFFF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sz w:val="17"/>
              </w:rPr>
              <w:t>1 de septiembre de 2026</w:t>
            </w:r>
          </w:p>
        </w:tc>
      </w:tr>
      <w:tr>
        <w:tc>
          <w:tcPr>
            <w:tcW w:type="dxa" w:w="2592"/>
            <w:shd w:fill="EEF2F5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b/>
                <w:color w:val="071522"/>
                <w:sz w:val="17"/>
              </w:rPr>
              <w:t>Siguiente acción</w:t>
            </w:r>
          </w:p>
        </w:tc>
        <w:tc>
          <w:tcPr>
            <w:tcW w:type="dxa" w:w="6768"/>
            <w:shd w:fill="FFFFFF"/>
            <w:vAlign w:val="center"/>
            <w:tcBorders>
              <w:top w:sz="3" w:val="single" w:color="D6DADF"/>
              <w:left w:sz="3" w:val="single" w:color="D6DADF"/>
              <w:bottom w:sz="3" w:val="single" w:color="D6DADF"/>
              <w:right w:sz="3" w:val="single" w:color="D6DADF"/>
            </w:tcBorders>
          </w:tcPr>
          <w:p>
            <w:pPr>
              <w:spacing w:after="0"/>
            </w:pPr>
            <w:r>
              <w:rPr>
                <w:sz w:val="17"/>
              </w:rPr>
              <w:t>Materializar WEB-COMPOSITION-001 y migrar composiciones concretas sin conservar caminos legacy</w:t>
            </w:r>
          </w:p>
        </w:tc>
      </w:tr>
    </w:tbl>
    <w:p/>
    <w:p>
      <w:pPr>
        <w:jc w:val="center"/>
      </w:pPr>
      <w:r>
        <w:rPr>
          <w:b/>
          <w:color w:val="C9A24B"/>
          <w:sz w:val="18"/>
        </w:rPr>
        <w:t>Sin autodiscovery · Sin hot-plug · Sin compatibilidad legacy interna por defecto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Este contrato define la frontera canónica de composición Web de Atlanticus. Su objetivo es recuperar una arquitectura modular donde el runtime Web actúa como tablero y las capacidades se montan de forma explícita, comparable a piezas LEGO. La composición concreta pertenece a cada aplicación; Atlanticus no impone una aplicación universal.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8FAFC"/>
            <w:tcBorders>
              <w:top w:sz="3" w:val="single" w:color="E4E8EC"/>
              <w:left w:sz="18" w:val="single" w:color="C9A24B"/>
              <w:bottom w:sz="3" w:val="single" w:color="E4E8EC"/>
              <w:right w:sz="3" w:val="single" w:color="E4E8EC"/>
            </w:tcBorders>
          </w:tcPr>
          <w:p>
            <w:pPr>
              <w:spacing w:after="40"/>
            </w:pPr>
            <w:r>
              <w:rPr>
                <w:b/>
                <w:color w:val="071522"/>
                <w:sz w:val="20"/>
              </w:rPr>
              <w:t>Regla base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Una aplicación Atlanticus Web válida puede existir con una página y sin Identity, Users, Navigation, Manager, Alarmas, KPI ni ninguna otra capability funcional.</w:t>
            </w:r>
          </w:p>
        </w:tc>
      </w:tr>
    </w:tbl>
    <w:p>
      <w:pPr>
        <w:spacing w:after="0"/>
      </w:pPr>
    </w:p>
    <w:p>
      <w:pPr>
        <w:pStyle w:val="Heading2"/>
      </w:pPr>
      <w:r>
        <w:t>1.1 Unidad de composición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4F6F8"/>
            <w:tcBorders>
              <w:top w:sz="4" w:val="single" w:color="D6DADF"/>
              <w:left w:sz="4" w:val="single" w:color="D6DADF"/>
              <w:bottom w:sz="4" w:val="single" w:color="D6DADF"/>
              <w:right w:sz="4" w:val="single" w:color="D6DAD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63238"/>
                <w:sz w:val="17"/>
              </w:rPr>
              <w:t>WebApplicationDefinition   = composition root / tablero</w:t>
              <w:br/>
            </w:r>
            <w:r>
              <w:rPr>
                <w:rFonts w:ascii="Consolas" w:hAnsi="Consolas"/>
                <w:color w:val="263238"/>
                <w:sz w:val="17"/>
              </w:rPr>
              <w:t>WebModule                  = pieza montable</w:t>
              <w:br/>
            </w:r>
            <w:r>
              <w:rPr>
                <w:rFonts w:ascii="Consolas" w:hAnsi="Consolas"/>
                <w:color w:val="263238"/>
                <w:sz w:val="17"/>
              </w:rPr>
              <w:t>create_web_application()   = ensamblador único</w:t>
              <w:br/>
            </w:r>
            <w:r>
              <w:rPr>
                <w:rFonts w:ascii="Consolas" w:hAnsi="Consolas"/>
                <w:color w:val="263238"/>
                <w:sz w:val="17"/>
              </w:rPr>
              <w:t>WebApplicationRuntime      = 1 Flask + 1 Dash + 1 ServiceRegistry</w:t>
            </w:r>
          </w:p>
        </w:tc>
      </w:tr>
    </w:tbl>
    <w:p>
      <w:pPr>
        <w:spacing w:after="0"/>
      </w:pPr>
    </w:p>
    <w:p>
      <w:r>
        <w:t>No se introduce un segundo sistema de plugins. El contrato actual de WebModule es la unidad de composición y se refuerza sólo donde falten invariantes necesarios para una integración segura.</w:t>
      </w:r>
    </w:p>
    <w:p>
      <w:pPr>
        <w:pStyle w:val="Heading2"/>
      </w:pPr>
      <w:r>
        <w:t>1.2 No objetivos de este incremento</w:t>
      </w:r>
    </w:p>
    <w:p>
      <w:pPr>
        <w:pStyle w:val="ListBullet"/>
        <w:spacing w:after="60"/>
      </w:pPr>
      <w:r>
        <w:t>Rediseñar la UI de Manager.</w:t>
      </w:r>
    </w:p>
    <w:p>
      <w:pPr>
        <w:pStyle w:val="ListBullet"/>
        <w:spacing w:after="60"/>
      </w:pPr>
      <w:r>
        <w:t>Implementar loaders, spinners u operation feedback.</w:t>
      </w:r>
    </w:p>
    <w:p>
      <w:pPr>
        <w:pStyle w:val="ListBullet"/>
        <w:spacing w:after="60"/>
      </w:pPr>
      <w:r>
        <w:t>Resolver responsividad o paginación.</w:t>
      </w:r>
    </w:p>
    <w:p>
      <w:pPr>
        <w:pStyle w:val="ListBullet"/>
        <w:spacing w:after="60"/>
      </w:pPr>
      <w:r>
        <w:t>Migrar KPI, Alarmas o cuerpos operacionales.</w:t>
      </w:r>
    </w:p>
    <w:p>
      <w:pPr>
        <w:pStyle w:val="ListBullet"/>
        <w:spacing w:after="60"/>
      </w:pPr>
      <w:r>
        <w:t>Crear autodiscovery, hot-plug o un registry dinámico de plugins.</w:t>
      </w:r>
    </w:p>
    <w:p>
      <w:pPr>
        <w:pStyle w:val="Heading1"/>
      </w:pPr>
      <w:r>
        <w:t>2. Invariantes congelados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07152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Invariante</w:t>
            </w:r>
          </w:p>
        </w:tc>
        <w:tc>
          <w:tcPr>
            <w:tcW w:type="dxa" w:w="6840"/>
            <w:shd w:fill="07152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Contrato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Runtime único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Una aplicación compuesta crea un único Flask y un único Dash. Una capability montada jamás crea otro servicio Web dentro de esa misma aplicación.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Capabilities opcionales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Identity, Users, Navigation, Manager y las capacidades ADA son opcionales salvo que la composición concreta decida montarlas.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Composición explícita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La aplicación declara sus WebModule. No existe autodiscovery ni registro mágico basado en paquetes instalados.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Composición estática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Las piezas se seleccionan al arranque. No existe instalación o retiro dinámico de capabilities sobre un Dash ya iniciado.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Layout propiedad de la aplicación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Las capabilities pueden entregar contratos, componentes y módulos Web; la geometría y la composición final siguen siendo responsabilidad de la aplicación.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Sin dependencia implícita por orden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El orden de modules no representa dependencias. Los servicios requeridos por una capability deben declararse y validarse como contrato.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Sin legacy productivo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Cuando una composición nueva reemplaza una antigua, se migran consumidores, se valida y se elimina el camino anterior. No se mantienen wrappers o aliases internos por comodidad.</w:t>
            </w:r>
          </w:p>
        </w:tc>
      </w:tr>
    </w:tbl>
    <w:p>
      <w:r>
        <w:br w:type="page"/>
      </w:r>
    </w:p>
    <w:p>
      <w:pPr>
        <w:pStyle w:val="Heading1"/>
      </w:pPr>
      <w:r>
        <w:t>3. Frontera de capabilities</w:t>
      </w:r>
    </w:p>
    <w:p>
      <w:r>
        <w:t>Las capabilities son independientes entre sí por defecto. Una relación entre dos piezas existe sólo cuando una composición concreta la declara o cuando una capability firma explícitamente un contrato externo mínimo.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4F6F8"/>
            <w:tcBorders>
              <w:top w:sz="4" w:val="single" w:color="D6DADF"/>
              <w:left w:sz="4" w:val="single" w:color="D6DADF"/>
              <w:bottom w:sz="4" w:val="single" w:color="D6DADF"/>
              <w:right w:sz="4" w:val="single" w:color="D6DAD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63238"/>
                <w:sz w:val="17"/>
              </w:rPr>
              <w:t>Atlanticus Web Runtime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Identity       [optional]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Users          [optional]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Navigation     [optional]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Manager        [optional]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ADA modules    [optional]</w:t>
              <w:br/>
            </w:r>
            <w:r>
              <w:rPr>
                <w:rFonts w:ascii="Consolas" w:hAnsi="Consolas"/>
                <w:color w:val="263238"/>
                <w:sz w:val="17"/>
              </w:rPr>
              <w:t>└── Future modules [optional]</w:t>
            </w:r>
          </w:p>
        </w:tc>
      </w:tr>
    </w:tbl>
    <w:p>
      <w:pPr>
        <w:spacing w:after="0"/>
      </w:pPr>
    </w:p>
    <w:p>
      <w:pPr>
        <w:pStyle w:val="Heading2"/>
      </w:pPr>
      <w:r>
        <w:t>3.1 Identity ≠ Users</w:t>
      </w:r>
    </w:p>
    <w:p>
      <w:r>
        <w:t>Identity resuelve una identidad autenticada y un estado de acceso. Users puede enriquecer o restringir ese acceso cuando la aplicación lo solicita, pero Identity no depende de Users. En local, un LocalIdentityProvider puede entregar una identidad sin Entra y sin catálogo de usuarios.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8FAFC"/>
            <w:tcBorders>
              <w:top w:sz="3" w:val="single" w:color="E4E8EC"/>
              <w:left w:sz="18" w:val="single" w:color="C9A24B"/>
              <w:bottom w:sz="3" w:val="single" w:color="E4E8EC"/>
              <w:right w:sz="3" w:val="single" w:color="E4E8EC"/>
            </w:tcBorders>
          </w:tcPr>
          <w:p>
            <w:pPr>
              <w:spacing w:after="40"/>
            </w:pPr>
            <w:r>
              <w:rPr>
                <w:b/>
                <w:color w:val="071522"/>
                <w:sz w:val="20"/>
              </w:rPr>
              <w:t>Consecuencia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Una aplicación puede montar Local Identity y operar sin Users Configuration. También puede no montar Identity en absoluto si su contrato funcional no lo requiere.</w:t>
            </w:r>
          </w:p>
        </w:tc>
      </w:tr>
    </w:tbl>
    <w:p>
      <w:pPr>
        <w:spacing w:after="0"/>
      </w:pPr>
    </w:p>
    <w:p>
      <w:pPr>
        <w:pStyle w:val="Heading2"/>
      </w:pPr>
      <w:r>
        <w:t>3.2 Users</w:t>
      </w:r>
    </w:p>
    <w:p>
      <w:r>
        <w:t>Users conserva sus contratos genéricos y puede funcionar como capability independiente. Core, Configuration, Activity y su eventual contribución a Manager son responsabilidades separables; Manager no es propietario de Users.</w:t>
      </w:r>
    </w:p>
    <w:p>
      <w:pPr>
        <w:pStyle w:val="Heading2"/>
      </w:pPr>
      <w:r>
        <w:t>3.3 Navigation</w:t>
      </w:r>
    </w:p>
    <w:p>
      <w:r>
        <w:t>Navigation conserva sus contratos genéricos y puede montarse sin Users. Una composición puede resolver su principal desde Identity, Users, un principal fijo u otro proveedor. La navegación interna del Manager no debe confundirse con la capability Navigation que se administra.</w:t>
      </w:r>
    </w:p>
    <w:p>
      <w:pPr>
        <w:pStyle w:val="Heading2"/>
      </w:pPr>
      <w:r>
        <w:t>3.4 Manager</w:t>
      </w:r>
    </w:p>
    <w:p>
      <w:r>
        <w:t>Manager es una capability montable. Al integrarse en otra aplicación aporta WebModule, callbacks, assets y surface sobre el mismo runtime existente. Un host standalone, si se necesita, es sólo un composition root fino que monta exactamente la misma capability; no es una segunda implementación.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4F6F8"/>
            <w:tcBorders>
              <w:top w:sz="4" w:val="single" w:color="D6DADF"/>
              <w:left w:sz="4" w:val="single" w:color="D6DADF"/>
              <w:bottom w:sz="4" w:val="single" w:color="D6DADF"/>
              <w:right w:sz="4" w:val="single" w:color="D6DAD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63238"/>
                <w:sz w:val="17"/>
              </w:rPr>
              <w:t>Existing Application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one Flask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one Dash</w:t>
              <w:br/>
            </w:r>
            <w:r>
              <w:rPr>
                <w:rFonts w:ascii="Consolas" w:hAnsi="Consolas"/>
                <w:color w:val="263238"/>
                <w:sz w:val="17"/>
              </w:rPr>
              <w:t>├── application modules</w:t>
              <w:br/>
            </w:r>
            <w:r>
              <w:rPr>
                <w:rFonts w:ascii="Consolas" w:hAnsi="Consolas"/>
                <w:color w:val="263238"/>
                <w:sz w:val="17"/>
              </w:rPr>
              <w:t>└── Manager modules  ← inyectados en el mismo runtime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Contrato de servicios entre piezas</w:t>
      </w:r>
    </w:p>
    <w:p>
      <w:r>
        <w:t>El ServiceRegistry es compartido por toda la aplicación y se congela después del registro inicial. Para impedir que el orden de la tupla modules se convierta en arquitectura implícita, cada WebModule puede declarar los servicios que requiere.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4F6F8"/>
            <w:tcBorders>
              <w:top w:sz="4" w:val="single" w:color="D6DADF"/>
              <w:left w:sz="4" w:val="single" w:color="D6DADF"/>
              <w:bottom w:sz="4" w:val="single" w:color="D6DADF"/>
              <w:right w:sz="4" w:val="single" w:color="D6DAD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63238"/>
                <w:sz w:val="17"/>
              </w:rPr>
              <w:t>WebModule(</w:t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name='consumer',</w:t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requires_services=('example.service',),</w:t>
              <w:br/>
            </w:r>
            <w:r>
              <w:rPr>
                <w:rFonts w:ascii="Consolas" w:hAnsi="Consolas"/>
                <w:color w:val="263238"/>
                <w:sz w:val="17"/>
              </w:rPr>
              <w:t>)</w:t>
              <w:br/>
            </w:r>
            <w:r>
              <w:rPr>
                <w:rFonts w:ascii="Consolas" w:hAnsi="Consolas"/>
                <w:color w:val="263238"/>
                <w:sz w:val="17"/>
              </w:rPr>
              <w:br/>
            </w:r>
            <w:r>
              <w:rPr>
                <w:rFonts w:ascii="Consolas" w:hAnsi="Consolas"/>
                <w:color w:val="263238"/>
                <w:sz w:val="17"/>
              </w:rPr>
              <w:t># Otro módulo registra example.service.</w:t>
              <w:br/>
            </w:r>
            <w:r>
              <w:rPr>
                <w:rFonts w:ascii="Consolas" w:hAnsi="Consolas"/>
                <w:color w:val="263238"/>
                <w:sz w:val="17"/>
              </w:rPr>
              <w:t># Puede aparecer antes o después en la tupla de composición.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Cada módulo registra únicamente los servicios que aporta.</w:t>
      </w:r>
    </w:p>
    <w:p>
      <w:pPr>
        <w:pStyle w:val="ListBullet"/>
        <w:spacing w:after="60"/>
      </w:pPr>
      <w:r>
        <w:t>Las dependencias se validan después de que todos los módulos tuvieron oportunidad de registrar servicios.</w:t>
      </w:r>
    </w:p>
    <w:p>
      <w:pPr>
        <w:pStyle w:val="ListBullet"/>
        <w:spacing w:after="60"/>
      </w:pPr>
      <w:r>
        <w:t>Un servicio requerido ausente aborta el startup con error explícito.</w:t>
      </w:r>
    </w:p>
    <w:p>
      <w:pPr>
        <w:pStyle w:val="ListBullet"/>
        <w:spacing w:after="60"/>
      </w:pPr>
      <w:r>
        <w:t>Los nombres de servicios requeridos no pueden estar vacíos ni duplicados dentro del mismo módulo.</w:t>
      </w:r>
    </w:p>
    <w:p>
      <w:pPr>
        <w:pStyle w:val="ListBullet"/>
        <w:spacing w:after="60"/>
      </w:pPr>
      <w:r>
        <w:t>La aplicación o los hooks posteriores consumen servicios desde el registry ya compuesto; no se utiliza el orden de modules como mecanismo de inyección.</w:t>
      </w:r>
    </w:p>
    <w:p>
      <w:pPr>
        <w:pStyle w:val="Heading1"/>
      </w:pPr>
      <w:r>
        <w:t>5. Páginas, rutas, assets y colisiones</w:t>
      </w:r>
    </w:p>
    <w:p>
      <w:r>
        <w:t>Una capability puede aportar page packages y asset layers mediante WebModule. El ensamblador valida el conjunto global; ninguna pieza puede apropiarse silenciosamente de una dirección o recurso ya ocupado por otra.</w:t>
      </w:r>
    </w:p>
    <w:p>
      <w:pPr>
        <w:pStyle w:val="Heading2"/>
      </w:pPr>
      <w:r>
        <w:t>5.1 Páginas</w:t>
      </w:r>
    </w:p>
    <w:p>
      <w:pPr>
        <w:pStyle w:val="ListBullet"/>
        <w:spacing w:after="60"/>
      </w:pPr>
      <w:r>
        <w:t>La aplicación debe tener al menos un page package, aportado por la aplicación o por un módulo.</w:t>
      </w:r>
    </w:p>
    <w:p>
      <w:pPr>
        <w:pStyle w:val="ListBullet"/>
        <w:spacing w:after="60"/>
      </w:pPr>
      <w:r>
        <w:t>Los page packages duplicados fallan.</w:t>
      </w:r>
    </w:p>
    <w:p>
      <w:pPr>
        <w:pStyle w:val="ListBullet"/>
        <w:spacing w:after="60"/>
      </w:pPr>
      <w:r>
        <w:t>Las rutas Dash duplicadas entre módulos distintos fallan explícitamente.</w:t>
      </w:r>
    </w:p>
    <w:p>
      <w:pPr>
        <w:pStyle w:val="ListBullet"/>
        <w:spacing w:after="60"/>
      </w:pPr>
      <w:r>
        <w:t>Las páginas privadas por convención de nombre siguen fuera del import automático.</w:t>
      </w:r>
    </w:p>
    <w:p>
      <w:pPr>
        <w:pStyle w:val="Heading2"/>
      </w:pPr>
      <w:r>
        <w:t>5.2 Assets</w:t>
      </w:r>
    </w:p>
    <w:p>
      <w:pPr>
        <w:pStyle w:val="ListBullet"/>
        <w:spacing w:after="60"/>
      </w:pPr>
      <w:r>
        <w:t>AssetLayer conserva nombre único y load_order único en la aplicación compuesta.</w:t>
      </w:r>
    </w:p>
    <w:p>
      <w:pPr>
        <w:pStyle w:val="ListBullet"/>
        <w:spacing w:after="60"/>
      </w:pPr>
      <w:r>
        <w:t>Los assets de una capability se publican dentro de la única publicación de assets del runtime.</w:t>
      </w:r>
    </w:p>
    <w:p>
      <w:pPr>
        <w:pStyle w:val="ListBullet"/>
        <w:spacing w:after="60"/>
      </w:pPr>
      <w:r>
        <w:t>Una capability no administra un pipeline de assets paralelo.</w:t>
      </w:r>
    </w:p>
    <w:p>
      <w:pPr>
        <w:pStyle w:val="Heading2"/>
      </w:pPr>
      <w:r>
        <w:t>5.3 Rutas Flask</w:t>
      </w:r>
    </w:p>
    <w:p>
      <w:r>
        <w:t>Las rutas Flask siguen registrándose mediante WebModule.register_routes sobre el mismo servidor. La responsabilidad de evitar rutas funcionalmente incompatibles pertenece al contrato de la capability y a los gates de composición; no se crea un router paralelo.</w:t>
      </w:r>
    </w:p>
    <w:p>
      <w:pPr>
        <w:pStyle w:val="Heading1"/>
      </w:pPr>
      <w:r>
        <w:t>6. Política de migración y legacy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8FAFC"/>
            <w:tcBorders>
              <w:top w:sz="3" w:val="single" w:color="E4E8EC"/>
              <w:left w:sz="18" w:val="single" w:color="C9A24B"/>
              <w:bottom w:sz="3" w:val="single" w:color="E4E8EC"/>
              <w:right w:sz="3" w:val="single" w:color="E4E8EC"/>
            </w:tcBorders>
          </w:tcPr>
          <w:p>
            <w:pPr>
              <w:spacing w:after="40"/>
            </w:pPr>
            <w:r>
              <w:rPr>
                <w:b/>
                <w:color w:val="071522"/>
                <w:sz w:val="20"/>
              </w:rPr>
              <w:t>Decisión congelada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No se conserva deuda técnica deliberada para mantener caminos internos antiguos. Si una implementación no encaja con la arquitectura objetivo, se reemplaza de forma controlada y se elimina después del gate.</w:t>
            </w:r>
          </w:p>
        </w:tc>
      </w:tr>
    </w:tbl>
    <w:p>
      <w:pPr>
        <w:spacing w:after="0"/>
      </w:pPr>
    </w:p>
    <w:p>
      <w:pPr>
        <w:pStyle w:val="ListNumber"/>
        <w:spacing w:after="60"/>
      </w:pPr>
      <w:r>
        <w:t>Definir el contrato reemplazante.</w:t>
      </w:r>
    </w:p>
    <w:p>
      <w:pPr>
        <w:pStyle w:val="ListNumber"/>
        <w:spacing w:after="60"/>
      </w:pPr>
      <w:r>
        <w:t>Materializar la composición nueva con pruebas.</w:t>
      </w:r>
    </w:p>
    <w:p>
      <w:pPr>
        <w:pStyle w:val="ListNumber"/>
        <w:spacing w:after="60"/>
      </w:pPr>
      <w:r>
        <w:t>Migrar consumidores reales.</w:t>
      </w:r>
    </w:p>
    <w:p>
      <w:pPr>
        <w:pStyle w:val="ListNumber"/>
        <w:spacing w:after="60"/>
      </w:pPr>
      <w:r>
        <w:t>Validar comportamiento y dependencias.</w:t>
      </w:r>
    </w:p>
    <w:p>
      <w:pPr>
        <w:pStyle w:val="ListNumber"/>
        <w:spacing w:after="60"/>
      </w:pPr>
      <w:r>
        <w:t>Confirmar que no quedan imports, páginas, rutas o servicios consumidores del camino anterior.</w:t>
      </w:r>
    </w:p>
    <w:p>
      <w:pPr>
        <w:pStyle w:val="ListNumber"/>
        <w:spacing w:after="60"/>
      </w:pPr>
      <w:r>
        <w:t>Eliminar la implementación anterior.</w:t>
      </w:r>
    </w:p>
    <w:p>
      <w:pPr>
        <w:pStyle w:val="ListNumber"/>
        <w:spacing w:after="60"/>
      </w:pPr>
      <w:r>
        <w:t>Ejecutar nuevamente el gate completo.</w:t>
      </w:r>
    </w:p>
    <w:p>
      <w:r>
        <w:br w:type="page"/>
      </w:r>
    </w:p>
    <w:p>
      <w:pPr>
        <w:pStyle w:val="Heading1"/>
      </w:pPr>
      <w:r>
        <w:t>7. Gate autoritativo de WEB-COMPOSITION-001</w:t>
      </w:r>
    </w:p>
    <w:p>
      <w:r>
        <w:t>El incremento se considera GREEN cuando la composición base demuestra los siguientes escenarios con Python 3.14.2 + UV y sin cambios directos en GitHub durante la preparación del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7152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4997"/>
            <w:shd w:fill="07152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A · Minimal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Web + una página. Sin Identity, Users, Navigation ni Manager.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B · Identity local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Web + Local Identity + página. Sin Users.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 · Capabilities independientes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Web + Local Identity + Navigation + página. Sin Users ni Manager.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D · Manager inyectado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Web + Manager + una contribución administrativa sobre el mismo Flask/Dash; no se crea servicio adicional.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E · Composición completa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Identity + Users + Navigation + Manager + capacidades ADA seleccionadas, todas sobre un único runtime.</w:t>
            </w:r>
          </w:p>
        </w:tc>
      </w:tr>
      <w:tr>
        <w:tc>
          <w:tcPr>
            <w:tcW w:type="dxa" w:w="2520"/>
            <w:shd w:fill="EEF2F5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F · Gates negativos</w:t>
            </w:r>
          </w:p>
        </w:tc>
        <w:tc>
          <w:tcPr>
            <w:tcW w:type="dxa" w:w="6840"/>
            <w:tcBorders>
              <w:top w:sz="2" w:val="single" w:color="D6DADF"/>
              <w:left w:sz="2" w:val="single" w:color="D6DADF"/>
              <w:bottom w:sz="2" w:val="single" w:color="D6DADF"/>
              <w:right w:sz="2" w:val="single" w:color="D6DADF"/>
            </w:tcBorders>
          </w:tcPr>
          <w:p>
            <w:pPr>
              <w:spacing w:after="20"/>
            </w:pPr>
            <w:r>
              <w:rPr>
                <w:sz w:val="16"/>
              </w:rPr>
              <w:t>Módulo duplicado, servicio duplicado, asset duplicado, page package duplicado, ruta Dash duplicada y servicio requerido ausente deben fallar explícitamente.</w:t>
            </w:r>
          </w:p>
        </w:tc>
      </w:tr>
    </w:tbl>
    <w:p>
      <w:pPr>
        <w:pStyle w:val="Heading2"/>
      </w:pPr>
      <w:r>
        <w:t>7.1 Gate técnico por paquete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4F6F8"/>
            <w:tcBorders>
              <w:top w:sz="4" w:val="single" w:color="D6DADF"/>
              <w:left w:sz="4" w:val="single" w:color="D6DADF"/>
              <w:bottom w:sz="4" w:val="single" w:color="D6DADF"/>
              <w:right w:sz="4" w:val="single" w:color="D6DAD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63238"/>
                <w:sz w:val="17"/>
              </w:rPr>
              <w:t>uv sync --frozen</w:t>
              <w:br/>
            </w:r>
            <w:r>
              <w:rPr>
                <w:rFonts w:ascii="Consolas" w:hAnsi="Consolas"/>
                <w:color w:val="263238"/>
                <w:sz w:val="17"/>
              </w:rPr>
              <w:t>uv run pytest -q</w:t>
              <w:br/>
            </w:r>
            <w:r>
              <w:rPr>
                <w:rFonts w:ascii="Consolas" w:hAnsi="Consolas"/>
                <w:color w:val="263238"/>
                <w:sz w:val="17"/>
              </w:rPr>
              <w:t>uv run ruff check .</w:t>
              <w:br/>
            </w:r>
            <w:r>
              <w:rPr>
                <w:rFonts w:ascii="Consolas" w:hAnsi="Consolas"/>
                <w:color w:val="263238"/>
                <w:sz w:val="17"/>
              </w:rPr>
              <w:t>uv run ruff format --check .</w:t>
            </w:r>
          </w:p>
        </w:tc>
      </w:tr>
    </w:tbl>
    <w:p>
      <w:pPr>
        <w:spacing w:after="0"/>
      </w:pPr>
    </w:p>
    <w:p>
      <w:r>
        <w:t>El candidate debe incluir código productivo limpio, espejo comentado en español con comportamiento equivalente y pruebas del contrato nuevo. La validación local fuera de Python 3.14.2 se considera sólo evidencia auxiliar.</w:t>
      </w:r>
    </w:p>
    <w:p>
      <w:pPr>
        <w:pStyle w:val="Heading1"/>
      </w:pPr>
      <w:r>
        <w:t>8. Continuidad después del baseline</w:t>
      </w:r>
    </w:p>
    <w:p>
      <w:r>
        <w:t>Una vez WEB-COMPOSITION-001 quede GREEN, los siguientes incrementos migrarán las composiciones concretas al tablero modular. Cada pieza que aterrice elimina su camino anterior; no se mantienen dos arquitecturas productivas en paralelo.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4F6F8"/>
            <w:tcBorders>
              <w:top w:sz="4" w:val="single" w:color="D6DADF"/>
              <w:left w:sz="4" w:val="single" w:color="D6DADF"/>
              <w:bottom w:sz="4" w:val="single" w:color="D6DADF"/>
              <w:right w:sz="4" w:val="single" w:color="D6DAD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63238"/>
                <w:sz w:val="17"/>
              </w:rPr>
              <w:t>WEB-COMPOSITION-001   composición base</w:t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263238"/>
                <w:sz w:val="17"/>
              </w:rPr>
              <w:t>ADA-COMPOSITION       reconstrucción del composition root ADA</w:t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263238"/>
                <w:sz w:val="17"/>
              </w:rPr>
              <w:t>MANAGER-CAP           Manager como capability montable</w:t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263238"/>
                <w:sz w:val="17"/>
              </w:rPr>
              <w:t>CONFIGURATION UI      cobertura funcional limpia</w:t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263238"/>
                <w:sz w:val="17"/>
              </w:rPr>
              <w:t>Visual Foundation → Operation Feedback → Responsive → Pagination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04"/>
            <w:shd w:fill="F8FAFC"/>
            <w:tcBorders>
              <w:top w:sz="3" w:val="single" w:color="E4E8EC"/>
              <w:left w:sz="18" w:val="single" w:color="C9A24B"/>
              <w:bottom w:sz="3" w:val="single" w:color="E4E8EC"/>
              <w:right w:sz="3" w:val="single" w:color="E4E8EC"/>
            </w:tcBorders>
          </w:tcPr>
          <w:p>
            <w:pPr>
              <w:spacing w:after="40"/>
            </w:pPr>
            <w:r>
              <w:rPr>
                <w:b/>
                <w:color w:val="071522"/>
                <w:sz w:val="20"/>
              </w:rPr>
              <w:t>Criterio de éxito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Atlanticus vuelve a ser una base reusable: agregar o retirar una capability modifica la composición de la aplicación, no obliga a reescribir el runtime Web ni a duplicar servicios.</w:t>
            </w:r>
          </w:p>
        </w:tc>
      </w:tr>
    </w:tbl>
    <w:p>
      <w:pPr>
        <w:spacing w:after="0"/>
      </w:pPr>
    </w:p>
    <w:p>
      <w:pPr>
        <w:pStyle w:val="Heading1"/>
      </w:pPr>
      <w:r>
        <w:t>9. Decisiones congeladas</w:t>
      </w:r>
    </w:p>
    <w:p>
      <w:pPr>
        <w:pStyle w:val="ListBullet"/>
        <w:spacing w:after="60"/>
      </w:pPr>
      <w:r>
        <w:t>WebApplicationDefinition permanece como composition root canónico.</w:t>
      </w:r>
    </w:p>
    <w:p>
      <w:pPr>
        <w:pStyle w:val="ListBullet"/>
        <w:spacing w:after="60"/>
      </w:pPr>
      <w:r>
        <w:t>WebModule permanece como unidad canónica de montaje.</w:t>
      </w:r>
    </w:p>
    <w:p>
      <w:pPr>
        <w:pStyle w:val="ListBullet"/>
        <w:spacing w:after="60"/>
      </w:pPr>
      <w:r>
        <w:t>create_web_application() es el único ensamblador del WebApplicationRuntime.</w:t>
      </w:r>
    </w:p>
    <w:p>
      <w:pPr>
        <w:pStyle w:val="ListBullet"/>
        <w:spacing w:after="60"/>
      </w:pPr>
      <w:r>
        <w:t>Una aplicación montada tiene un Flask y un Dash.</w:t>
      </w:r>
    </w:p>
    <w:p>
      <w:pPr>
        <w:pStyle w:val="ListBullet"/>
        <w:spacing w:after="60"/>
      </w:pPr>
      <w:r>
        <w:t>Las capabilities funcionales son opcionales por defecto.</w:t>
      </w:r>
    </w:p>
    <w:p>
      <w:pPr>
        <w:pStyle w:val="ListBullet"/>
        <w:spacing w:after="60"/>
      </w:pPr>
      <w:r>
        <w:t>Users y Navigation siguen siendo capacidades genéricas independientes.</w:t>
      </w:r>
    </w:p>
    <w:p>
      <w:pPr>
        <w:pStyle w:val="ListBullet"/>
        <w:spacing w:after="60"/>
      </w:pPr>
      <w:r>
        <w:t>Identity no depende de Users; Users puede participar en Access sólo por composición explícita.</w:t>
      </w:r>
    </w:p>
    <w:p>
      <w:pPr>
        <w:pStyle w:val="ListBullet"/>
        <w:spacing w:after="60"/>
      </w:pPr>
      <w:r>
        <w:t>Manager se integra sobre el runtime existente y no levanta otro Dash/Flask.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8717A"/>
        <w:sz w:val="16"/>
      </w:rPr>
      <w:t>Contrato canónico de composición modular  ·  1 de septiembre de 2026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8717A"/>
        <w:sz w:val="16"/>
      </w:rPr>
      <w:t>ATLANTICUS  ·  WEB-COMPOSITION-001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715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642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A67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7152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lanticusLabel">
    <w:name w:val="Atlanticus Label"/>
    <w:pPr>
      <w:spacing w:after="60"/>
    </w:pPr>
    <w:rPr>
      <w:rFonts w:ascii="Arial" w:hAnsi="Arial"/>
      <w:b/>
      <w:color w:val="6871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WEB-COMPOSITION-001 — Contrato de Composición Web Modular</dc:title>
  <dc:subject>Contrato arquitectónico canónico para composición modular de Atlanticus Web</dc:subject>
  <dc:creator>Atlanticus</dc:creator>
  <cp:keywords>Atlanticus, WebModule, WebApplicationDefinition, modular composition, Manager, Users, Navigation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