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</w:pPr>
      <w:r>
        <w:rPr>
          <w:rFonts w:ascii="Aptos" w:hAnsi="Aptos" w:eastAsia="Aptos"/>
          <w:b/>
          <w:color w:val="C9A24B"/>
          <w:sz w:val="28"/>
        </w:rPr>
        <w:t>ATLANTICUS</w:t>
      </w:r>
    </w:p>
    <w:p>
      <w:pPr>
        <w:pStyle w:val="Title"/>
        <w:spacing w:before="120" w:after="100"/>
      </w:pPr>
      <w:r>
        <w:rPr>
          <w:rFonts w:ascii="Aptos" w:hAnsi="Aptos" w:eastAsia="Aptos"/>
          <w:b/>
          <w:color w:val="071522"/>
          <w:sz w:val="54"/>
        </w:rPr>
        <w:t>Manager — Addendum de decisiones</w:t>
      </w:r>
    </w:p>
    <w:p>
      <w:pPr>
        <w:pStyle w:val="Subtitle"/>
      </w:pPr>
      <w:r>
        <w:rPr>
          <w:rFonts w:ascii="Aptos" w:hAnsi="Aptos" w:eastAsia="Aptos"/>
          <w:color w:val="56616C"/>
          <w:sz w:val="22"/>
        </w:rPr>
        <w:t>UX transversal, identidad de usuarios, navegación, configuración de herramientas e integridad referencial</w:t>
      </w:r>
    </w:p>
    <w:p>
      <w:pPr>
        <w:spacing w:before="320" w:after="240"/>
        <w:pBdr>
          <w:bottom w:val="single" w:sz="18" w:space="5" w:color="C9A24B"/>
        </w:pBdr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04"/>
        <w:gridCol w:w="8208"/>
      </w:tblGrid>
      <w:tr>
        <w:tc>
          <w:tcPr>
            <w:tcW w:type="dxa" w:w="5083"/>
            <w:shd w:fill="071522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6DBE1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5083"/>
            <w:shd w:fill="F8F5EC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6DBE1"/>
            </w:tcBorders>
          </w:tcPr>
          <w:p>
            <w:r>
              <w:rPr>
                <w:rFonts w:ascii="Aptos" w:hAnsi="Aptos" w:eastAsia="Aptos"/>
                <w:color w:val="071522"/>
                <w:sz w:val="18"/>
              </w:rPr>
              <w:t>Decisiones de diseño congeladas + puntos explícitamente pendientes</w:t>
            </w:r>
          </w:p>
        </w:tc>
      </w:tr>
      <w:tr>
        <w:tc>
          <w:tcPr>
            <w:tcW w:type="dxa" w:w="5083"/>
            <w:shd w:fill="071522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6DBE1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Relación</w:t>
            </w:r>
          </w:p>
        </w:tc>
        <w:tc>
          <w:tcPr>
            <w:tcW w:type="dxa" w:w="5083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6DBE1"/>
            </w:tcBorders>
          </w:tcPr>
          <w:p>
            <w:r>
              <w:rPr>
                <w:rFonts w:ascii="Aptos" w:hAnsi="Aptos" w:eastAsia="Aptos"/>
                <w:color w:val="071522"/>
                <w:sz w:val="18"/>
              </w:rPr>
              <w:t>Complementa el contrato anterior de Manager UX &amp; Runtime; no lo reemplaza</w:t>
            </w:r>
          </w:p>
        </w:tc>
      </w:tr>
      <w:tr>
        <w:tc>
          <w:tcPr>
            <w:tcW w:type="dxa" w:w="5083"/>
            <w:shd w:fill="071522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6DBE1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Baseline</w:t>
            </w:r>
          </w:p>
        </w:tc>
        <w:tc>
          <w:tcPr>
            <w:tcW w:type="dxa" w:w="5083"/>
            <w:shd w:fill="F8F5EC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6DBE1"/>
            </w:tcBorders>
          </w:tcPr>
          <w:p>
            <w:r>
              <w:rPr>
                <w:rFonts w:ascii="Aptos" w:hAnsi="Aptos" w:eastAsia="Aptos"/>
                <w:color w:val="071522"/>
                <w:sz w:val="18"/>
              </w:rPr>
              <w:t>Atlanticus canónico, Python 3.14.2 + UV</w:t>
            </w:r>
          </w:p>
        </w:tc>
      </w:tr>
      <w:tr>
        <w:tc>
          <w:tcPr>
            <w:tcW w:type="dxa" w:w="5083"/>
            <w:shd w:fill="071522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6DBE1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Objetivo</w:t>
            </w:r>
          </w:p>
        </w:tc>
        <w:tc>
          <w:tcPr>
            <w:tcW w:type="dxa" w:w="5083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6DBE1"/>
            </w:tcBorders>
          </w:tcPr>
          <w:p>
            <w:r>
              <w:rPr>
                <w:rFonts w:ascii="Aptos" w:hAnsi="Aptos" w:eastAsia="Aptos"/>
                <w:color w:val="071522"/>
                <w:sz w:val="18"/>
              </w:rPr>
              <w:t>Cerrar la columna vertebral funcional del Manager antes de congelar el contrato final de salida de Herramienta para backend/alarmas</w:t>
            </w:r>
          </w:p>
        </w:tc>
      </w:tr>
    </w:tbl>
    <w:p>
      <w:pPr>
        <w:spacing w:before="360"/>
      </w:pPr>
      <w:r>
        <w:rPr>
          <w:rFonts w:ascii="Aptos" w:hAnsi="Aptos" w:eastAsia="Aptos"/>
          <w:b/>
          <w:color w:val="C9A24B"/>
          <w:sz w:val="18"/>
        </w:rPr>
        <w:t>Principio rector</w:t>
      </w:r>
    </w:p>
    <w:p>
      <w:r>
        <w:rPr>
          <w:rFonts w:ascii="Aptos" w:hAnsi="Aptos" w:eastAsia="Aptos"/>
          <w:b/>
          <w:color w:val="071522"/>
          <w:sz w:val="22"/>
        </w:rPr>
        <w:t>La UI debe simplificar y anticipar las reglas del dominio, pero nunca convertirse en la única barrera de integridad. Las operaciones destructivas y de publicación conservan validación autoritativa.</w:t>
      </w:r>
    </w:p>
    <w:p>
      <w:r>
        <w:br/>
      </w:r>
    </w:p>
    <w:p>
      <w:pPr>
        <w:pStyle w:val="Heading1"/>
        <w:pBdr>
          <w:bottom w:val="single" w:sz="12" w:space="5" w:color="C9A24B"/>
        </w:pBdr>
        <w:keepNext/>
      </w:pPr>
      <w:r>
        <w:t>1. Estado de MANAGER-UX-001A</w:t>
      </w:r>
    </w:p>
    <w:p>
      <w:r>
        <w:rPr>
          <w:rFonts w:ascii="Aptos" w:hAnsi="Aptos" w:eastAsia="Aptos"/>
          <w:b/>
          <w:color w:val="2F6B48"/>
        </w:rPr>
        <w:t xml:space="preserve">GREEN técnico / NO cerrado visualmente. </w:t>
      </w:r>
      <w:r>
        <w:rPr>
          <w:rFonts w:ascii="Aptos" w:hAnsi="Aptos" w:eastAsia="Aptos"/>
          <w:color w:val="071522"/>
        </w:rPr>
        <w:t>El gate pasó 156/156 tests (Manager 81, Users 35, Navigation 40), pero la qualification visual mantiene findings abiertos.</w:t>
      </w:r>
    </w:p>
    <w:p>
      <w:pPr>
        <w:pStyle w:val="ListBullet"/>
      </w:pPr>
      <w:r>
        <w:t>Persisten desbordes horizontales en Home, modals y algunas superficies internas.</w:t>
      </w:r>
    </w:p>
    <w:p>
      <w:pPr>
        <w:pStyle w:val="ListBullet"/>
      </w:pPr>
      <w:r>
        <w:t>La paginación de Home debe quedar anclada al fondo de la superficie de página y no desplazarse visualmente con la altura de las cards.</w:t>
      </w:r>
    </w:p>
    <w:p>
      <w:pPr>
        <w:pStyle w:val="ListBullet"/>
      </w:pPr>
      <w:r>
        <w:t>El botón flotante del Manager requiere cursor pointer y eliminación del tooltip/title nativo visible.</w:t>
      </w:r>
    </w:p>
    <w:p>
      <w:pPr>
        <w:pStyle w:val="ListBullet"/>
      </w:pPr>
      <w:r>
        <w:t>Los modals deben compartir un shell común, sin scroll innecesario y con header Atlanticus azul.</w:t>
      </w:r>
    </w:p>
    <w:p>
      <w:pPr>
        <w:pStyle w:val="ListBullet"/>
      </w:pPr>
      <w:r>
        <w:t>Persisten rastros visuales morados heredados de Dash/React Select; deben desaparecer del lenguaje visual Atlanticus.</w:t>
      </w:r>
    </w:p>
    <w:p>
      <w:pPr>
        <w:pStyle w:val="ListBullet"/>
      </w:pPr>
      <w:r>
        <w:t>Los textos de acciones siguen demasiado acoplados al módulo: “Importar archivo de Users”, “Guardar borrador de Navigation”, etc.</w:t>
      </w:r>
    </w:p>
    <w:p>
      <w:pPr>
        <w:pStyle w:val="ListBullet"/>
      </w:pPr>
      <w:r>
        <w:t>Los mensajes visibles al usuario deben estar en español. Errores internos, logs y excepciones se mantienen en inglés.</w:t>
      </w:r>
    </w:p>
    <w:p>
      <w:pPr>
        <w:pStyle w:val="Heading2"/>
        <w:keepNext/>
      </w:pPr>
      <w:r>
        <w:t>1.1 Layout congelado para Estado y trazabilidad</w:t>
      </w:r>
    </w:p>
    <w:p>
      <w:r>
        <w:t>En desktop, Trabajo local y Workspace local pueden compartir la primera fila porque son compactos y pertenecen al mismo flujo local. Los bloques con más información deben ocupar el ancho completo.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83"/>
            <w:shd w:fill="F8F5EC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r>
              <w:rPr>
                <w:rFonts w:ascii="Aptos" w:hAnsi="Aptos" w:eastAsia="Aptos"/>
                <w:b/>
                <w:color w:val="071522"/>
              </w:rPr>
              <w:t>TRABAJO LOCAL</w:t>
            </w:r>
          </w:p>
        </w:tc>
        <w:tc>
          <w:tcPr>
            <w:tcW w:type="dxa" w:w="5083"/>
            <w:shd w:fill="F8F5EC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r>
              <w:rPr>
                <w:rFonts w:ascii="Aptos" w:hAnsi="Aptos" w:eastAsia="Aptos"/>
                <w:b/>
                <w:color w:val="071522"/>
              </w:rPr>
              <w:t>WORKSPACE LOCAL</w:t>
            </w:r>
          </w:p>
        </w:tc>
      </w:tr>
      <w:tr>
        <w:tc>
          <w:tcPr>
            <w:tcW w:type="dxa" w:w="10166"/>
            <w:gridSpan w:val="2"/>
            <w:shd w:fill="F3F5F7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r>
              <w:rPr>
                <w:rFonts w:ascii="Aptos" w:hAnsi="Aptos" w:eastAsia="Aptos"/>
                <w:b/>
                <w:color w:val="071522"/>
              </w:rPr>
              <w:t>ESTADO / TRAZABILIDAD DE LA CONFIGURACIÓN</w:t>
            </w:r>
          </w:p>
        </w:tc>
      </w:tr>
      <w:tr>
        <w:tc>
          <w:tcPr>
            <w:tcW w:type="dxa" w:w="10166"/>
            <w:gridSpan w:val="2"/>
            <w:shd w:fill="F5EBD2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r>
              <w:rPr>
                <w:rFonts w:ascii="Aptos" w:hAnsi="Aptos" w:eastAsia="Aptos"/>
                <w:b/>
                <w:color w:val="071522"/>
              </w:rPr>
              <w:t>FLUJO DE PUBLICACIÓN</w:t>
            </w:r>
          </w:p>
        </w:tc>
      </w:tr>
    </w:tbl>
    <w:p>
      <w:pPr>
        <w:pStyle w:val="DecisionGold"/>
      </w:pPr>
      <w:r>
        <w:t>Responsive: cuando el ancho no sea suficiente, Trabajo local y Workspace local se apilan. Ningún breakpoint puede introducir scroll horizontal como mecanismo normal de navegación.</w:t>
      </w:r>
    </w:p>
    <w:p>
      <w:pPr>
        <w:pStyle w:val="Heading1"/>
        <w:pBdr>
          <w:bottom w:val="single" w:sz="12" w:space="5" w:color="C9A24B"/>
        </w:pBdr>
        <w:keepNext/>
      </w:pPr>
      <w:r>
        <w:t>2. Users: identidad, incorporación y escalabilidad</w:t>
      </w:r>
    </w:p>
    <w:p>
      <w:r>
        <w:t>La UI de Users debe dejar de tratar la identidad como un formulario libre. Microsoft Entra ID es la identidad real; el Manager administra incorporación, perfil y habilitación.</w:t>
      </w:r>
    </w:p>
    <w:p>
      <w:pPr>
        <w:pStyle w:val="Heading2"/>
        <w:keepNext/>
      </w:pPr>
      <w:r>
        <w:t>2.1 Navegación de la página</w:t>
      </w:r>
    </w:p>
    <w:p>
      <w:r>
        <w:rPr>
          <w:rFonts w:ascii="Aptos" w:hAnsi="Aptos" w:eastAsia="Aptos"/>
          <w:b/>
          <w:color w:val="071522"/>
          <w:sz w:val="24"/>
        </w:rPr>
        <w:t>Perfiles   |   Usuarios   |   Pendientes</w:t>
      </w:r>
    </w:p>
    <w:p>
      <w:r>
        <w:t>“Descubiertos” deja de usarse como término visible. La pestaña se llama Pendientes y el título interno será “Identidades pendientes de incorporación”. El modelo interno puede conservar DiscoveredUser si no existe una razón técnica para renombrarlo.</w:t>
      </w:r>
    </w:p>
    <w:p>
      <w:pPr>
        <w:pStyle w:val="Heading2"/>
        <w:keepNext/>
      </w:pPr>
      <w:r>
        <w:t>2.2 Se elimina “+ Usuario” libre</w:t>
      </w:r>
    </w:p>
    <w:p>
      <w:r>
        <w:t>No se permitirá crear un usuario escribiendo manualmente nombre y correo como identidad primaria. Esto evita identidades preconfiguradas cuya clave pueda divergir de la identidad real emitida posteriormente por Entra.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166"/>
            <w:shd w:fill="F8F5E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ptos" w:hAnsi="Aptos" w:eastAsia="Aptos"/>
                <w:b/>
                <w:color w:val="071522"/>
              </w:rPr>
              <w:t>1. Microsoft Entra ID detecta una identidad válida que todavía no forma parte de la configuración publicada.</w:t>
            </w:r>
          </w:p>
        </w:tc>
      </w:tr>
      <w:tr>
        <w:tc>
          <w:tcPr>
            <w:tcW w:type="dxa" w:w="10166"/>
            <w:shd w:fill="FFFFF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ptos" w:hAnsi="Aptos" w:eastAsia="Aptos"/>
                <w:b w:val="0"/>
                <w:color w:val="071522"/>
              </w:rPr>
              <w:t>2. La identidad aparece en Pendientes con nombre y correo provenientes de Entra.</w:t>
            </w:r>
          </w:p>
        </w:tc>
      </w:tr>
      <w:tr>
        <w:tc>
          <w:tcPr>
            <w:tcW w:type="dxa" w:w="10166"/>
            <w:shd w:fill="F8F5E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ptos" w:hAnsi="Aptos" w:eastAsia="Aptos"/>
                <w:b w:val="0"/>
                <w:color w:val="071522"/>
              </w:rPr>
              <w:t>3. El administrador selecciona Incorporar.</w:t>
            </w:r>
          </w:p>
        </w:tc>
      </w:tr>
      <w:tr>
        <w:tc>
          <w:tcPr>
            <w:tcW w:type="dxa" w:w="10166"/>
            <w:shd w:fill="FFFFF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ptos" w:hAnsi="Aptos" w:eastAsia="Aptos"/>
                <w:b w:val="0"/>
                <w:color w:val="071522"/>
              </w:rPr>
              <w:t>4. El modal conserva identidad/nombre/correo como read-only y permite elegir perfil + habilitado.</w:t>
            </w:r>
          </w:p>
        </w:tc>
      </w:tr>
      <w:tr>
        <w:tc>
          <w:tcPr>
            <w:tcW w:type="dxa" w:w="10166"/>
            <w:shd w:fill="F8F5E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ptos" w:hAnsi="Aptos" w:eastAsia="Aptos"/>
                <w:b/>
                <w:color w:val="071522"/>
              </w:rPr>
              <w:t>5. Al confirmar, pasa a Usuarios configurados y deja de pertenecer a Pendientes.</w:t>
            </w:r>
          </w:p>
        </w:tc>
      </w:tr>
    </w:tbl>
    <w:p>
      <w:pPr>
        <w:pStyle w:val="DecisionGold"/>
      </w:pPr>
      <w:r>
        <w:t>Preprovisionamiento futuro: si fuera necesario incorporar a una persona antes de su primer acceso, deberá diseñarse como búsqueda de directorio Entra; no se reintroducirá un formulario libre de identidad.</w:t>
      </w:r>
    </w:p>
    <w:p>
      <w:pPr>
        <w:pStyle w:val="Heading2"/>
        <w:keepNext/>
      </w:pPr>
      <w:r>
        <w:t>2.3 Usuarios configurados</w:t>
      </w:r>
    </w:p>
    <w:p>
      <w:pPr>
        <w:pStyle w:val="ListBullet"/>
      </w:pPr>
      <w:r>
        <w:t>La identidad Entra es estable y no editable desde Manager.</w:t>
      </w:r>
    </w:p>
    <w:p>
      <w:pPr>
        <w:pStyle w:val="ListBullet"/>
      </w:pPr>
      <w:r>
        <w:t>Las acciones administrativas normales son asignar/cambiar perfil y habilitar/deshabilitar.</w:t>
      </w:r>
    </w:p>
    <w:p>
      <w:pPr>
        <w:pStyle w:val="ListBullet"/>
      </w:pPr>
      <w:r>
        <w:t>Nombre/correo pueden mostrarse como información proveniente de identidad, no como claves administrables.</w:t>
      </w:r>
    </w:p>
    <w:p>
      <w:pPr>
        <w:pStyle w:val="ListBullet"/>
      </w:pPr>
      <w:r>
        <w:t>Las listas deben soportar filtro y paginación local sobre el snapshot ya hidratado; no se impondrán límites arbitrarios al dominio sólo para simplificar la UI.</w:t>
      </w:r>
    </w:p>
    <w:p>
      <w:pPr>
        <w:pStyle w:val="Heading2"/>
        <w:keepNext/>
      </w:pPr>
      <w:r>
        <w:t>2.4 Pendientes: estados de producto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488"/>
      </w:tblGrid>
      <w:tr>
        <w:tc>
          <w:tcPr>
            <w:tcW w:type="dxa" w:w="5083"/>
            <w:shd w:fill="0D274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FFFFFF"/>
              </w:rPr>
              <w:t>Vacío</w:t>
            </w:r>
          </w:p>
        </w:tc>
        <w:tc>
          <w:tcPr>
            <w:tcW w:type="dxa" w:w="5083"/>
            <w:shd w:fill="F8F5E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color w:val="071522"/>
              </w:rPr>
              <w:t>No hay identidades pendientes de incorporación.</w:t>
            </w:r>
          </w:p>
        </w:tc>
      </w:tr>
      <w:tr>
        <w:tc>
          <w:tcPr>
            <w:tcW w:type="dxa" w:w="5083"/>
            <w:shd w:fill="0D274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FFFFFF"/>
              </w:rPr>
              <w:t>Con datos</w:t>
            </w:r>
          </w:p>
        </w:tc>
        <w:tc>
          <w:tcPr>
            <w:tcW w:type="dxa" w:w="5083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color w:val="071522"/>
              </w:rPr>
              <w:t>Mostrar identidad, acceso actual Guest y acción Incorporar.</w:t>
            </w:r>
          </w:p>
        </w:tc>
      </w:tr>
      <w:tr>
        <w:tc>
          <w:tcPr>
            <w:tcW w:type="dxa" w:w="5083"/>
            <w:shd w:fill="0D274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FFFFFF"/>
              </w:rPr>
              <w:t>Error real</w:t>
            </w:r>
          </w:p>
        </w:tc>
        <w:tc>
          <w:tcPr>
            <w:tcW w:type="dxa" w:w="5083"/>
            <w:shd w:fill="F8F5E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color w:val="071522"/>
              </w:rPr>
              <w:t>No fue posible actualizar las identidades pendientes. Mostrar Reintentar; evitar mensajes técnicos en rojo como estado normal.</w:t>
            </w:r>
          </w:p>
        </w:tc>
      </w:tr>
    </w:tbl>
    <w:p>
      <w:pPr>
        <w:pStyle w:val="Heading1"/>
        <w:pBdr>
          <w:bottom w:val="single" w:sz="12" w:space="5" w:color="C9A24B"/>
        </w:pBdr>
        <w:keepNext/>
      </w:pPr>
      <w:r>
        <w:t>3. Perfiles e integridad referencial</w:t>
      </w:r>
    </w:p>
    <w:p>
      <w:r>
        <w:t>Atlanticus adopta bloqueo de eliminación en cascada, no borrado en cascada. Una entidad referenciada debe liberarse o reasignarse explícitamente antes de ser eliminada.</w:t>
      </w:r>
    </w:p>
    <w:p>
      <w:pPr>
        <w:pStyle w:val="Heading2"/>
        <w:keepNext/>
      </w:pPr>
      <w:r>
        <w:t>3.1 Reglas congeladas para perfiles</w:t>
      </w:r>
    </w:p>
    <w:p>
      <w:pPr>
        <w:pStyle w:val="ListBullet"/>
      </w:pPr>
      <w:r>
        <w:t>Local, Administrador y Guest son perfiles del sistema: nunca se eliminan.</w:t>
      </w:r>
    </w:p>
    <w:p>
      <w:pPr>
        <w:pStyle w:val="ListBullet"/>
      </w:pPr>
      <w:r>
        <w:t>Un perfil personalizado sólo puede eliminarse cuando no está referenciado por usuarios ni por Navigation.</w:t>
      </w:r>
    </w:p>
    <w:p>
      <w:pPr>
        <w:pStyle w:val="ListBullet"/>
      </w:pPr>
      <w:r>
        <w:t>La UI debe anticipar el bloqueo mostrando referencias conocidas en la Manager Session (ej.: “12 usuarios · 7 enlaces”).</w:t>
      </w:r>
    </w:p>
    <w:p>
      <w:pPr>
        <w:pStyle w:val="ListBullet"/>
      </w:pPr>
      <w:r>
        <w:t>La validación autoritativa se repite al ejecutar la operación destructiva o al publicar; un botón deshabilitado nunca es la única barrera de integridad.</w:t>
      </w:r>
    </w:p>
    <w:p>
      <w:pPr>
        <w:pStyle w:val="ListBullet"/>
      </w:pPr>
      <w:r>
        <w:t>Eliminar un perfil nunca elimina ni reasigna silenciosamente usuarios, enlaces o permisos asociados.</w:t>
      </w:r>
    </w:p>
    <w:p>
      <w:pPr>
        <w:pStyle w:val="Heading2"/>
        <w:keepNext/>
      </w:pPr>
      <w:r>
        <w:t>3.2 Regla general reusable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912"/>
      </w:tblGrid>
      <w:tr>
        <w:tc>
          <w:tcPr>
            <w:tcW w:type="dxa" w:w="5083"/>
            <w:shd w:fill="F5EBD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071522"/>
              </w:rPr>
              <w:t>Perfil</w:t>
            </w:r>
          </w:p>
        </w:tc>
        <w:tc>
          <w:tcPr>
            <w:tcW w:type="dxa" w:w="5083"/>
            <w:shd w:fill="F8F5E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color w:val="071522"/>
              </w:rPr>
              <w:t>Bloqueado si Users o Navigation lo referencian.</w:t>
            </w:r>
          </w:p>
        </w:tc>
      </w:tr>
      <w:tr>
        <w:tc>
          <w:tcPr>
            <w:tcW w:type="dxa" w:w="5083"/>
            <w:shd w:fill="F5EBD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071522"/>
              </w:rPr>
              <w:t>Sección</w:t>
            </w:r>
          </w:p>
        </w:tc>
        <w:tc>
          <w:tcPr>
            <w:tcW w:type="dxa" w:w="5083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color w:val="071522"/>
              </w:rPr>
              <w:t>Bloqueada si todavía contiene enlaces.</w:t>
            </w:r>
          </w:p>
        </w:tc>
      </w:tr>
      <w:tr>
        <w:tc>
          <w:tcPr>
            <w:tcW w:type="dxa" w:w="5083"/>
            <w:shd w:fill="F5EBD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071522"/>
              </w:rPr>
              <w:t>Component</w:t>
            </w:r>
          </w:p>
        </w:tc>
        <w:tc>
          <w:tcPr>
            <w:tcW w:type="dxa" w:w="5083"/>
            <w:shd w:fill="F8F5E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color w:val="071522"/>
              </w:rPr>
              <w:t>Bloqueado si existen subcomponents/relaciones que dependen de él.</w:t>
            </w:r>
          </w:p>
        </w:tc>
      </w:tr>
      <w:tr>
        <w:tc>
          <w:tcPr>
            <w:tcW w:type="dxa" w:w="5083"/>
            <w:shd w:fill="F5EBD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071522"/>
              </w:rPr>
              <w:t>Subcomponent</w:t>
            </w:r>
          </w:p>
        </w:tc>
        <w:tc>
          <w:tcPr>
            <w:tcW w:type="dxa" w:w="5083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color w:val="071522"/>
              </w:rPr>
              <w:t>Bloqueado si existe una referencia válida hacia él.</w:t>
            </w:r>
          </w:p>
        </w:tc>
      </w:tr>
    </w:tbl>
    <w:p>
      <w:pPr>
        <w:pStyle w:val="Heading1"/>
        <w:pBdr>
          <w:bottom w:val="single" w:sz="12" w:space="5" w:color="C9A24B"/>
        </w:pBdr>
        <w:keepNext/>
      </w:pPr>
      <w:r>
        <w:t>4. Navigation: pertenencia estable y crecimiento controlado</w:t>
      </w:r>
    </w:p>
    <w:p>
      <w:r>
        <w:t>El editor debe reflejar la topología real de Navigation: enlaces raíz y secciones con enlaces. La pertenencia de un enlace no debe cambiar de forma accidental desde un modal abierto dentro de una sección.</w:t>
      </w:r>
    </w:p>
    <w:p>
      <w:pPr>
        <w:pStyle w:val="Heading2"/>
        <w:keepNext/>
      </w:pPr>
      <w:r>
        <w:t>4.1 Regla de pertenencia</w:t>
      </w:r>
    </w:p>
    <w:p>
      <w:pPr>
        <w:pStyle w:val="ListBullet"/>
      </w:pPr>
      <w:r>
        <w:t>Si “+ Enlace” se ejecuta dentro de una sección, el modal abre con esa sección fijada/read-only.</w:t>
      </w:r>
    </w:p>
    <w:p>
      <w:pPr>
        <w:pStyle w:val="ListBullet"/>
      </w:pPr>
      <w:r>
        <w:t>Editar un enlace dentro de una sección no permite cambiarlo a otra sección desde el mismo formulario.</w:t>
      </w:r>
    </w:p>
    <w:p>
      <w:pPr>
        <w:pStyle w:val="ListBullet"/>
      </w:pPr>
      <w:r>
        <w:t>Mover un enlace es una operación explícita de estructura (por ejemplo, acción Mover en la botonera externa), no un efecto lateral del editor.</w:t>
      </w:r>
    </w:p>
    <w:p>
      <w:pPr>
        <w:pStyle w:val="ListBullet"/>
      </w:pPr>
      <w:r>
        <w:t>Un enlace raíz permanece raíz salvo una acción explícita de movimiento.</w:t>
      </w:r>
    </w:p>
    <w:p>
      <w:pPr>
        <w:pStyle w:val="ListBullet"/>
      </w:pPr>
      <w:r>
        <w:t>La UI no introduce secciones anidadas; la estructura vigente es de un nivel: links raíz + secciones con links.</w:t>
      </w:r>
    </w:p>
    <w:p>
      <w:pPr>
        <w:pStyle w:val="Heading2"/>
        <w:keepNext/>
      </w:pPr>
      <w:r>
        <w:t>4.2 Escalabilidad de secciones y enlaces</w:t>
      </w:r>
    </w:p>
    <w:p>
      <w:r>
        <w:t>No se congelan máximos artificiales de perfiles, usuarios, secciones o enlaces sin una necesidad operacional real. El problema de escala se resuelve en presentación: filtro, conteo y paginación local sobre estado hidratado.</w:t>
      </w:r>
    </w:p>
    <w:p>
      <w:pPr>
        <w:pStyle w:val="DecisionGold"/>
      </w:pPr>
      <w:r>
        <w:t>Page size exacto para estas listas: pendiente de calibration visual. La regla congelada es que cambiar de página local no vuelve a consultar SharePoint.</w:t>
      </w:r>
    </w:p>
    <w:p>
      <w:pPr>
        <w:pStyle w:val="Heading1"/>
        <w:pBdr>
          <w:bottom w:val="single" w:sz="12" w:space="5" w:color="C9A24B"/>
        </w:pBdr>
        <w:keepNext/>
      </w:pPr>
      <w:r>
        <w:t>5. Herramienta: identidad, tipo, ámbito y alarmas</w:t>
      </w:r>
    </w:p>
    <w:p>
      <w:r>
        <w:t>La página visible debe abandonar la mezcla “Tool / Tools” con español. En UI se utilizará “Herramienta” o “Configuración de herramienta”; los nombres internos de contratos Python pueden conservar ToolConfiguration, ToolStructure, etc.</w:t>
      </w:r>
    </w:p>
    <w:p>
      <w:pPr>
        <w:pStyle w:val="Heading2"/>
        <w:keepNext/>
      </w:pPr>
      <w:r>
        <w:t>5.1 Identidad al inicio de la página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912"/>
      </w:tblGrid>
      <w:tr>
        <w:tc>
          <w:tcPr>
            <w:tcW w:type="dxa" w:w="5083"/>
            <w:shd w:fill="0D274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FFFFFF"/>
              </w:rPr>
              <w:t>Nombre visible</w:t>
            </w:r>
          </w:p>
        </w:tc>
        <w:tc>
          <w:tcPr>
            <w:tcW w:type="dxa" w:w="5083"/>
            <w:shd w:fill="F8F5E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color w:val="071522"/>
              </w:rPr>
              <w:t>Nombre mostrado en branding/header de la aplicación.</w:t>
            </w:r>
          </w:p>
        </w:tc>
      </w:tr>
      <w:tr>
        <w:tc>
          <w:tcPr>
            <w:tcW w:type="dxa" w:w="5083"/>
            <w:shd w:fill="0D274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FFFFFF"/>
              </w:rPr>
              <w:t>Tipo</w:t>
            </w:r>
          </w:p>
        </w:tc>
        <w:tc>
          <w:tcPr>
            <w:tcW w:type="dxa" w:w="5083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color w:val="071522"/>
              </w:rPr>
              <w:t>Proceso u Operaciones Integradas para el flujo operacional actual.</w:t>
            </w:r>
          </w:p>
        </w:tc>
      </w:tr>
      <w:tr>
        <w:tc>
          <w:tcPr>
            <w:tcW w:type="dxa" w:w="5083"/>
            <w:shd w:fill="0D274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FFFFFF"/>
              </w:rPr>
              <w:t>Identificador</w:t>
            </w:r>
          </w:p>
        </w:tc>
        <w:tc>
          <w:tcPr>
            <w:tcW w:type="dxa" w:w="5083"/>
            <w:shd w:fill="F8F5E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color w:val="071522"/>
              </w:rPr>
              <w:t>Generado automáticamente una sola vez a partir del nombre normalizado + sufijo estable para evitar colisiones.</w:t>
            </w:r>
          </w:p>
        </w:tc>
      </w:tr>
      <w:tr>
        <w:tc>
          <w:tcPr>
            <w:tcW w:type="dxa" w:w="5083"/>
            <w:shd w:fill="0D274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FFFFFF"/>
              </w:rPr>
              <w:t>Ejemplo</w:t>
            </w:r>
          </w:p>
        </w:tc>
        <w:tc>
          <w:tcPr>
            <w:tcW w:type="dxa" w:w="5083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color w:val="071522"/>
              </w:rPr>
              <w:t>Flotación Selectiva → flotacion_selectiva_7f3c2a</w:t>
            </w:r>
          </w:p>
        </w:tc>
      </w:tr>
    </w:tbl>
    <w:p>
      <w:pPr>
        <w:pStyle w:val="DecisionGold"/>
      </w:pPr>
      <w:r>
        <w:t>Strategic existe actualmente en el contrato interno, pero su UX/semántica operacional no se congela en este addendum. No debe bloquear el cierre de Process e Integrated Operations.</w:t>
      </w:r>
    </w:p>
    <w:p>
      <w:pPr>
        <w:pStyle w:val="Heading2"/>
        <w:keepNext/>
      </w:pPr>
      <w:r>
        <w:t>5.2 Proceso</w:t>
      </w:r>
    </w:p>
    <w:p>
      <w:pPr>
        <w:pStyle w:val="ListBullet"/>
      </w:pPr>
      <w:r>
        <w:t>Declara exactamente un ámbito operacional global: Mina o Planta.</w:t>
      </w:r>
    </w:p>
    <w:p>
      <w:pPr>
        <w:pStyle w:val="ListBullet"/>
      </w:pPr>
      <w:r>
        <w:t>Sus Components pueden ser personalizados, pero cada uno ocupa un layout_role único; CENTER es obligatorio.</w:t>
      </w:r>
    </w:p>
    <w:p>
      <w:pPr>
        <w:pStyle w:val="ListBullet"/>
      </w:pPr>
      <w:r>
        <w:t>Los Components heredan el ámbito operacional del proceso y no declaran scope propio.</w:t>
      </w:r>
    </w:p>
    <w:p>
      <w:pPr>
        <w:pStyle w:val="ListBullet"/>
      </w:pPr>
      <w:r>
        <w:t>El baseline de alarmas se enfoca en la operación central: el Component CENTER es el baseline de componente para alarmas.</w:t>
      </w:r>
    </w:p>
    <w:p>
      <w:pPr>
        <w:pStyle w:val="ListBullet"/>
      </w:pPr>
      <w:r>
        <w:t>La UI debe exponer un warning/información explicando que Process representa una operación focalizada y su coordinación de alarmas se centra en el punto operacional central.</w:t>
      </w:r>
    </w:p>
    <w:p>
      <w:pPr>
        <w:pStyle w:val="Heading2"/>
        <w:keepNext/>
      </w:pPr>
      <w:r>
        <w:t>5.3 Operaciones Integradas</w:t>
      </w:r>
    </w:p>
    <w:p>
      <w:pPr>
        <w:pStyle w:val="ListBullet"/>
      </w:pPr>
      <w:r>
        <w:t>No declara un ámbito operacional global único.</w:t>
      </w:r>
    </w:p>
    <w:p>
      <w:pPr>
        <w:pStyle w:val="ListBullet"/>
      </w:pPr>
      <w:r>
        <w:t>Cada Component declara su scope: Mina o Planta.</w:t>
      </w:r>
    </w:p>
    <w:p>
      <w:pPr>
        <w:pStyle w:val="ListBullet"/>
      </w:pPr>
      <w:r>
        <w:t>Los Components son personalizados y no usan Process layout roles.</w:t>
      </w:r>
    </w:p>
    <w:p>
      <w:pPr>
        <w:pStyle w:val="ListBullet"/>
      </w:pPr>
      <w:r>
        <w:t>El baseline de alarmas considera todos los Components configurados.</w:t>
      </w:r>
    </w:p>
    <w:p>
      <w:pPr>
        <w:pStyle w:val="ListBullet"/>
      </w:pPr>
      <w:r>
        <w:t>Los ámbitos visibles en Alarm Management se derivan de los scopes realmente presentes en los Components: sólo Mina, sólo Planta, o Mina + Planta.</w:t>
      </w:r>
    </w:p>
    <w:p>
      <w:pPr>
        <w:pStyle w:val="Heading2"/>
        <w:keepNext/>
      </w:pPr>
      <w:r>
        <w:t>5.4 Components/Subcomponents como topología consumible</w:t>
      </w:r>
    </w:p>
    <w:p>
      <w:r>
        <w:t>Los identificadores estables de Components y Subcomponents no son sólo etiquetas visuales. Forman parte de la topología que después puede ser utilizada como destino/dirección de datos consumibles por visualización, KPIs y proyección de alarmas. La UI debe explicarlo sin exponer complejidad técnica innecesaria.</w:t>
      </w:r>
    </w:p>
    <w:p>
      <w:pPr>
        <w:pStyle w:val="Heading1"/>
        <w:pBdr>
          <w:bottom w:val="single" w:sz="12" w:space="5" w:color="C9A24B"/>
        </w:pBdr>
        <w:keepNext/>
      </w:pPr>
      <w:r>
        <w:t>6. Herramienta: decisiones UX congeladas y candidatas</w:t>
      </w:r>
    </w:p>
    <w:p>
      <w:pPr>
        <w:pStyle w:val="Heading2"/>
        <w:keepNext/>
      </w:pPr>
      <w:r>
        <w:t>6.1 Congeladas</w:t>
      </w:r>
    </w:p>
    <w:p>
      <w:pPr>
        <w:pStyle w:val="ListBullet"/>
      </w:pPr>
      <w:r>
        <w:t>Identidad de herramienta (nombre, tipo, key) va al inicio.</w:t>
      </w:r>
    </w:p>
    <w:p>
      <w:pPr>
        <w:pStyle w:val="ListBullet"/>
      </w:pPr>
      <w:r>
        <w:t>“Fuentes” debe reformularse como “Estado de las fuentes” o equivalente orientado al estado/participación, no como una lista técnica aislada.</w:t>
      </w:r>
    </w:p>
    <w:p>
      <w:pPr>
        <w:pStyle w:val="ListBullet"/>
      </w:pPr>
      <w:r>
        <w:t>Los textos visibles deben estar completamente en español y evitar descripciones largas que nunca caben correctamente en cards/filas.</w:t>
      </w:r>
    </w:p>
    <w:p>
      <w:pPr>
        <w:pStyle w:val="ListBullet"/>
      </w:pPr>
      <w:r>
        <w:t>Los botones de Components/Subcomponents deben ser funcionales antes de congelar el contrato de salida.</w:t>
      </w:r>
    </w:p>
    <w:p>
      <w:pPr>
        <w:pStyle w:val="ListBullet"/>
      </w:pPr>
      <w:r>
        <w:t>La diferencia Process vs Operaciones Integradas debe ser visible y explicada porque afecta ámbito, header y baseline de alarmas.</w:t>
      </w:r>
    </w:p>
    <w:p>
      <w:pPr>
        <w:pStyle w:val="Heading2"/>
        <w:keepNext/>
      </w:pPr>
      <w:r>
        <w:t>6.2 Pendientes de cerrar antes de TOOLS-UI-001</w:t>
      </w:r>
    </w:p>
    <w:p>
      <w:r>
        <w:t>Estas ideas se consideran dirección de diseño, pero todavía no son contrato final:</w:t>
      </w:r>
    </w:p>
    <w:p>
      <w:pPr>
        <w:pStyle w:val="ListBullet"/>
      </w:pPr>
      <w:r>
        <w:t>Reemplazar “Observaciones adicionales” textarea por una colección estructurada con acción +; queda por decidir si el editor será modal o inline.</w:t>
      </w:r>
    </w:p>
    <w:p>
      <w:pPr>
        <w:pStyle w:val="ListBullet"/>
      </w:pPr>
      <w:r>
        <w:t>Renombrar “Destinos KPI derivados” como “Proyección de configuración” y ofrecer una acción Visualizar/Calcular.</w:t>
      </w:r>
    </w:p>
    <w:p>
      <w:pPr>
        <w:pStyle w:val="ListBullet"/>
      </w:pPr>
      <w:r>
        <w:t>Posible modal de resultado con Cerrar + Descargar para inspeccionar el documento final antes del handoff.</w:t>
      </w:r>
    </w:p>
    <w:p>
      <w:pPr>
        <w:pStyle w:val="ListBullet"/>
      </w:pPr>
      <w:r>
        <w:t>Definir el copy exacto y la representación compacta de estado de fuentes sin saturar la pantalla con párrafos completos.</w:t>
      </w:r>
    </w:p>
    <w:p>
      <w:pPr>
        <w:pStyle w:val="Heading1"/>
        <w:pBdr>
          <w:bottom w:val="single" w:sz="12" w:space="5" w:color="C9A24B"/>
        </w:pBdr>
        <w:keepNext/>
      </w:pPr>
      <w:r>
        <w:t>7. Relación con Manager Runtime</w:t>
      </w:r>
    </w:p>
    <w:p>
      <w:r>
        <w:t>Todas estas reglas se apoyan en el contrato previo de hidratación por sesión: primera visita hidrata desde la fuente autoritativa; navegación interna reutiliza el snapshot/working draft; filtro y paginación local no generan nuevas consultas a SharePoint.</w:t>
      </w:r>
    </w:p>
    <w:p>
      <w:pPr>
        <w:pStyle w:val="ListBullet"/>
      </w:pPr>
      <w:r>
        <w:t>Las dependencias entre perfiles, usuarios y Navigation pueden anticiparse con snapshots ya hidratados.</w:t>
      </w:r>
    </w:p>
    <w:p>
      <w:pPr>
        <w:pStyle w:val="ListBullet"/>
      </w:pPr>
      <w:r>
        <w:t>Si una acción destructiva necesita verificar una dependencia que todavía no está hidratada, la verificación explícita está justificada por la semántica destructiva; no se hidrata preventivamente todo el Manager sólo para pintar la pantalla.</w:t>
      </w:r>
    </w:p>
    <w:p>
      <w:pPr>
        <w:pStyle w:val="ListBullet"/>
      </w:pPr>
      <w:r>
        <w:t>Al iniciar una nueva Manager Session, se muestra la versión actual de SharePoint y un warning no bloqueante si existe un borrador persistido anterior; recuperar ese borrador sigue siendo una acción explícita en Estado y trazabilidad.</w:t>
      </w:r>
    </w:p>
    <w:p>
      <w:r>
        <w:br w:type="page"/>
      </w:r>
    </w:p>
    <w:p>
      <w:pPr>
        <w:pStyle w:val="Heading1"/>
        <w:pBdr>
          <w:bottom w:val="single" w:sz="12" w:space="5" w:color="C9A24B"/>
        </w:pBdr>
        <w:keepNext/>
      </w:pPr>
      <w:r>
        <w:t>8. Roadmap recomendado desde este checkpoint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880"/>
        <w:gridCol w:w="5040"/>
      </w:tblGrid>
      <w:tr>
        <w:trPr>
          <w:tblHeader w:val="true"/>
        </w:trPr>
        <w:tc>
          <w:tcPr>
            <w:tcW w:type="dxa" w:w="3389"/>
            <w:shd w:fill="071522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rFonts w:ascii="Aptos" w:hAnsi="Aptos" w:eastAsia="Aptos"/>
                <w:b/>
                <w:color w:val="FFFFFF"/>
              </w:rPr>
              <w:t>Orden</w:t>
            </w:r>
          </w:p>
        </w:tc>
        <w:tc>
          <w:tcPr>
            <w:tcW w:type="dxa" w:w="3389"/>
            <w:shd w:fill="071522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rFonts w:ascii="Aptos" w:hAnsi="Aptos" w:eastAsia="Aptos"/>
                <w:b/>
                <w:color w:val="FFFFFF"/>
              </w:rPr>
              <w:t>Incremento</w:t>
            </w:r>
          </w:p>
        </w:tc>
        <w:tc>
          <w:tcPr>
            <w:tcW w:type="dxa" w:w="3389"/>
            <w:shd w:fill="071522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rFonts w:ascii="Aptos" w:hAnsi="Aptos" w:eastAsia="Aptos"/>
                <w:b/>
                <w:color w:val="FFFFFF"/>
              </w:rPr>
              <w:t>Objetivo</w:t>
            </w:r>
          </w:p>
        </w:tc>
      </w:tr>
      <w:tr>
        <w:tc>
          <w:tcPr>
            <w:tcW w:type="dxa" w:w="338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 w:eastAsia="Aptos"/>
                <w:b w:val="0"/>
                <w:color w:val="071522"/>
              </w:rPr>
              <w:t>1</w:t>
            </w:r>
          </w:p>
        </w:tc>
        <w:tc>
          <w:tcPr>
            <w:tcW w:type="dxa" w:w="338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 w:eastAsia="Aptos"/>
                <w:b/>
                <w:color w:val="071522"/>
              </w:rPr>
              <w:t>MANAGER-UX-001B</w:t>
            </w:r>
          </w:p>
        </w:tc>
        <w:tc>
          <w:tcPr>
            <w:tcW w:type="dxa" w:w="338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 w:eastAsia="Aptos"/>
                <w:b w:val="0"/>
                <w:color w:val="071522"/>
              </w:rPr>
              <w:t>Cerrar overflow, paginator, modal shell, español, estados vacíos y copy genérico.</w:t>
            </w:r>
          </w:p>
        </w:tc>
      </w:tr>
      <w:tr>
        <w:tc>
          <w:tcPr>
            <w:tcW w:type="dxa" w:w="3389"/>
            <w:shd w:fill="F8F5E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 w:eastAsia="Aptos"/>
                <w:b w:val="0"/>
                <w:color w:val="071522"/>
              </w:rPr>
              <w:t>2</w:t>
            </w:r>
          </w:p>
        </w:tc>
        <w:tc>
          <w:tcPr>
            <w:tcW w:type="dxa" w:w="3389"/>
            <w:shd w:fill="F8F5E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 w:eastAsia="Aptos"/>
                <w:b/>
                <w:color w:val="071522"/>
              </w:rPr>
              <w:t>MANAGER-RUNTIME-001</w:t>
            </w:r>
          </w:p>
        </w:tc>
        <w:tc>
          <w:tcPr>
            <w:tcW w:type="dxa" w:w="3389"/>
            <w:shd w:fill="F8F5E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 w:eastAsia="Aptos"/>
                <w:b w:val="0"/>
                <w:color w:val="071522"/>
              </w:rPr>
              <w:t>Entry loader + hidratación lazy + reuse de sesión + single-flight.</w:t>
            </w:r>
          </w:p>
        </w:tc>
      </w:tr>
      <w:tr>
        <w:tc>
          <w:tcPr>
            <w:tcW w:type="dxa" w:w="338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 w:eastAsia="Aptos"/>
                <w:b w:val="0"/>
                <w:color w:val="071522"/>
              </w:rPr>
              <w:t>3</w:t>
            </w:r>
          </w:p>
        </w:tc>
        <w:tc>
          <w:tcPr>
            <w:tcW w:type="dxa" w:w="338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 w:eastAsia="Aptos"/>
                <w:b/>
                <w:color w:val="071522"/>
              </w:rPr>
              <w:t>USERS-UX-001</w:t>
            </w:r>
          </w:p>
        </w:tc>
        <w:tc>
          <w:tcPr>
            <w:tcW w:type="dxa" w:w="338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 w:eastAsia="Aptos"/>
                <w:b w:val="0"/>
                <w:color w:val="071522"/>
              </w:rPr>
              <w:t>Pendientes/Incorporar, eliminar + Usuario libre, paginación/filtro e integridad de perfiles.</w:t>
            </w:r>
          </w:p>
        </w:tc>
      </w:tr>
      <w:tr>
        <w:tc>
          <w:tcPr>
            <w:tcW w:type="dxa" w:w="3389"/>
            <w:shd w:fill="F8F5E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 w:eastAsia="Aptos"/>
                <w:b w:val="0"/>
                <w:color w:val="071522"/>
              </w:rPr>
              <w:t>4</w:t>
            </w:r>
          </w:p>
        </w:tc>
        <w:tc>
          <w:tcPr>
            <w:tcW w:type="dxa" w:w="3389"/>
            <w:shd w:fill="F8F5E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 w:eastAsia="Aptos"/>
                <w:b/>
                <w:color w:val="071522"/>
              </w:rPr>
              <w:t>NAVIGATION-UX-001</w:t>
            </w:r>
          </w:p>
        </w:tc>
        <w:tc>
          <w:tcPr>
            <w:tcW w:type="dxa" w:w="3389"/>
            <w:shd w:fill="F8F5E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 w:eastAsia="Aptos"/>
                <w:b w:val="0"/>
                <w:color w:val="071522"/>
              </w:rPr>
              <w:t>Pertenencia estable, mover explícito y estructura escalable.</w:t>
            </w:r>
          </w:p>
        </w:tc>
      </w:tr>
      <w:tr>
        <w:tc>
          <w:tcPr>
            <w:tcW w:type="dxa" w:w="338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 w:eastAsia="Aptos"/>
                <w:b w:val="0"/>
                <w:color w:val="071522"/>
              </w:rPr>
              <w:t>5</w:t>
            </w:r>
          </w:p>
        </w:tc>
        <w:tc>
          <w:tcPr>
            <w:tcW w:type="dxa" w:w="338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 w:eastAsia="Aptos"/>
                <w:b/>
                <w:color w:val="071522"/>
              </w:rPr>
              <w:t>TOOLS-CONTRACT-001</w:t>
            </w:r>
          </w:p>
        </w:tc>
        <w:tc>
          <w:tcPr>
            <w:tcW w:type="dxa" w:w="338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 w:eastAsia="Aptos"/>
                <w:b w:val="0"/>
                <w:color w:val="071522"/>
              </w:rPr>
              <w:t>Congelar identidad, kind, scopes, baseline alarmas y topología consumible.</w:t>
            </w:r>
          </w:p>
        </w:tc>
      </w:tr>
      <w:tr>
        <w:tc>
          <w:tcPr>
            <w:tcW w:type="dxa" w:w="3389"/>
            <w:shd w:fill="F8F5E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 w:eastAsia="Aptos"/>
                <w:b w:val="0"/>
                <w:color w:val="071522"/>
              </w:rPr>
              <w:t>6</w:t>
            </w:r>
          </w:p>
        </w:tc>
        <w:tc>
          <w:tcPr>
            <w:tcW w:type="dxa" w:w="3389"/>
            <w:shd w:fill="F8F5E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 w:eastAsia="Aptos"/>
                <w:b/>
                <w:color w:val="071522"/>
              </w:rPr>
              <w:t>TOOLS-UI-001</w:t>
            </w:r>
          </w:p>
        </w:tc>
        <w:tc>
          <w:tcPr>
            <w:tcW w:type="dxa" w:w="3389"/>
            <w:shd w:fill="F8F5E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 w:eastAsia="Aptos"/>
                <w:b w:val="0"/>
                <w:color w:val="071522"/>
              </w:rPr>
              <w:t>Implementar UX final sobre contrato congelado; luego handoff de ToolConfiguration.to_document().</w:t>
            </w:r>
          </w:p>
        </w:tc>
      </w:tr>
    </w:tbl>
    <w:p>
      <w:pPr>
        <w:pStyle w:val="Heading1"/>
        <w:pBdr>
          <w:bottom w:val="single" w:sz="12" w:space="5" w:color="C9A24B"/>
        </w:pBdr>
        <w:keepNext/>
      </w:pPr>
      <w:r>
        <w:t>9. Principios de aceptación añadidos</w:t>
      </w:r>
    </w:p>
    <w:p>
      <w:pPr>
        <w:pStyle w:val="ListBullet"/>
      </w:pPr>
      <w:r>
        <w:rPr>
          <w:rFonts w:ascii="Aptos" w:hAnsi="Aptos" w:eastAsia="Aptos"/>
          <w:color w:val="2F6B48"/>
        </w:rPr>
        <w:t>✓ No existe scroll horizontal como comportamiento normal en Manager desktop.</w:t>
      </w:r>
    </w:p>
    <w:p>
      <w:pPr>
        <w:pStyle w:val="ListBullet"/>
      </w:pPr>
      <w:r>
        <w:rPr>
          <w:rFonts w:ascii="Aptos" w:hAnsi="Aptos" w:eastAsia="Aptos"/>
          <w:color w:val="2F6B48"/>
        </w:rPr>
        <w:t>✓ Ninguna acción visible mezcla inglés/español; los contratos internos pueden seguir en inglés.</w:t>
      </w:r>
    </w:p>
    <w:p>
      <w:pPr>
        <w:pStyle w:val="ListBullet"/>
      </w:pPr>
      <w:r>
        <w:rPr>
          <w:rFonts w:ascii="Aptos" w:hAnsi="Aptos" w:eastAsia="Aptos"/>
          <w:color w:val="2F6B48"/>
        </w:rPr>
        <w:t>✓ No existe creación libre de usuarios que compita con identidad Entra.</w:t>
      </w:r>
    </w:p>
    <w:p>
      <w:pPr>
        <w:pStyle w:val="ListBullet"/>
      </w:pPr>
      <w:r>
        <w:rPr>
          <w:rFonts w:ascii="Aptos" w:hAnsi="Aptos" w:eastAsia="Aptos"/>
          <w:color w:val="2F6B48"/>
        </w:rPr>
        <w:t>✓ Pendientes permite incorporar identidades reales a Users.</w:t>
      </w:r>
    </w:p>
    <w:p>
      <w:pPr>
        <w:pStyle w:val="ListBullet"/>
      </w:pPr>
      <w:r>
        <w:rPr>
          <w:rFonts w:ascii="Aptos" w:hAnsi="Aptos" w:eastAsia="Aptos"/>
          <w:color w:val="2F6B48"/>
        </w:rPr>
        <w:t>✓ No existe borrado destructivo en cascada entre configuraciones.</w:t>
      </w:r>
    </w:p>
    <w:p>
      <w:pPr>
        <w:pStyle w:val="ListBullet"/>
      </w:pPr>
      <w:r>
        <w:rPr>
          <w:rFonts w:ascii="Aptos" w:hAnsi="Aptos" w:eastAsia="Aptos"/>
          <w:color w:val="2F6B48"/>
        </w:rPr>
        <w:t>✓ Un enlace creado dentro de una sección no cambia de pertenencia desde su modal de edición.</w:t>
      </w:r>
    </w:p>
    <w:p>
      <w:pPr>
        <w:pStyle w:val="ListBullet"/>
      </w:pPr>
      <w:r>
        <w:rPr>
          <w:rFonts w:ascii="Aptos" w:hAnsi="Aptos" w:eastAsia="Aptos"/>
          <w:color w:val="2F6B48"/>
        </w:rPr>
        <w:t>✓ Process e Integrated Operations exponen reglas diferentes y coherentes con su baseline de alarmas.</w:t>
      </w:r>
    </w:p>
    <w:p>
      <w:pPr>
        <w:pStyle w:val="ListBullet"/>
      </w:pPr>
      <w:r>
        <w:rPr>
          <w:rFonts w:ascii="Aptos" w:hAnsi="Aptos" w:eastAsia="Aptos"/>
          <w:color w:val="2F6B48"/>
        </w:rPr>
        <w:t>✓ La key de la herramienta es estable, autogenerada y no depende de que el administrador invente un identificador técnico.</w:t>
      </w:r>
    </w:p>
    <w:p>
      <w:pPr>
        <w:pStyle w:val="ListBullet"/>
      </w:pPr>
      <w:r>
        <w:rPr>
          <w:rFonts w:ascii="Aptos" w:hAnsi="Aptos" w:eastAsia="Aptos"/>
          <w:color w:val="2F6B48"/>
        </w:rPr>
        <w:t>✓ Las listas grandes escalan mediante presentación local; no mediante llamadas repetitivas a SharePoint ni límites arbitrarios del dominio.</w:t>
      </w:r>
    </w:p>
    <w:p>
      <w:pPr>
        <w:spacing w:before="240"/>
      </w:pPr>
      <w:r>
        <w:rPr>
          <w:rFonts w:ascii="Aptos" w:hAnsi="Aptos" w:eastAsia="Aptos"/>
          <w:b/>
          <w:color w:val="C9A24B"/>
        </w:rPr>
        <w:t xml:space="preserve">Checkpoint: </w:t>
      </w:r>
      <w:r>
        <w:rPr>
          <w:rFonts w:ascii="Aptos" w:hAnsi="Aptos" w:eastAsia="Aptos"/>
          <w:b/>
          <w:color w:val="071522"/>
        </w:rPr>
        <w:t>este addendum queda listo para ser usado como base de MANAGER-UX-001B y de los contratos específicos de Users, Navigation y Herramienta.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color w:val="56616C"/>
        <w:sz w:val="15"/>
      </w:rPr>
      <w:t>Atlanticus • Documento de decisiones • 02-09-2026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5" w:color="071522"/>
      </w:pBdr>
    </w:pPr>
    <w:r>
      <w:rPr>
        <w:rFonts w:ascii="Aptos" w:hAnsi="Aptos" w:eastAsia="Aptos"/>
        <w:b/>
        <w:color w:val="C9A24B"/>
        <w:sz w:val="15"/>
      </w:rPr>
      <w:t>ATLANTICUS  |  MANAGER DECISION ADDENDUM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9" w:lineRule="auto"/>
    </w:pPr>
    <w:rPr>
      <w:rFonts w:ascii="Aptos" w:hAnsi="Aptos" w:eastAsia="Aptos"/>
      <w:color w:val="07152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7152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0D274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8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0D274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071522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Aptos"/>
      <w:i/>
      <w:iCs/>
      <w:color w:val="56616C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cisionGreen">
    <w:name w:val="DecisionGreen"/>
    <w:pPr>
      <w:spacing w:after="60"/>
    </w:pPr>
    <w:rPr>
      <w:rFonts w:ascii="Aptos" w:hAnsi="Aptos" w:eastAsia="Aptos"/>
      <w:color w:val="2F6B48"/>
      <w:sz w:val="19"/>
    </w:rPr>
  </w:style>
  <w:style w:type="paragraph" w:customStyle="1" w:styleId="DecisionGold">
    <w:name w:val="DecisionGold"/>
    <w:pPr>
      <w:spacing w:after="60"/>
    </w:pPr>
    <w:rPr>
      <w:rFonts w:ascii="Aptos" w:hAnsi="Aptos" w:eastAsia="Aptos"/>
      <w:color w:val="071522"/>
      <w:sz w:val="19"/>
    </w:rPr>
  </w:style>
  <w:style w:type="paragraph" w:customStyle="1" w:styleId="DecisionRed">
    <w:name w:val="DecisionRed"/>
    <w:pPr>
      <w:spacing w:after="60"/>
    </w:pPr>
    <w:rPr>
      <w:rFonts w:ascii="Aptos" w:hAnsi="Aptos" w:eastAsia="Aptos"/>
      <w:color w:val="A62D2D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Atlanticus Manager — Addendum de decisiones 2026-09-02</dc:title>
  <dc:subject>UX, Users, Navigation, Tool e integridad referencial</dc:subject>
  <dc:creator>Atlanticus Project</dc:creator>
  <cp:keywords>Atlanticus, Manager, Users, Navigation, Tool, Entra ID, Alarmas, UX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