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Atlanticus R3.6</w:t>
        <w:br/>
        <w:t>Clean Integration &amp; Operational Productization Handoff</w:t>
      </w:r>
    </w:p>
    <w:p>
      <w:pPr>
        <w:jc w:val="center"/>
      </w:pPr>
      <w:r>
        <w:rPr>
          <w:b/>
          <w:sz w:val="19"/>
        </w:rPr>
        <w:t>v1.0.0 · Working Baseline for New Chat · 31 August 2026</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pPr>
              <w:spacing w:after="0"/>
            </w:pPr>
            <w:r/>
            <w:r>
              <w:rPr>
                <w:rFonts w:ascii="Aptos" w:hAnsi="Aptos"/>
                <w:b/>
                <w:sz w:val="16"/>
              </w:rPr>
              <w:t>Purpose</w:t>
            </w:r>
          </w:p>
        </w:tc>
        <w:tc>
          <w:tcPr>
            <w:tcW w:type="dxa" w:w="5184"/>
            <w:vAlign w:val="center"/>
          </w:tcPr>
          <w:p>
            <w:pPr>
              <w:spacing w:after="0"/>
            </w:pPr>
            <w:r/>
            <w:r>
              <w:rPr>
                <w:rFonts w:ascii="Aptos" w:hAnsi="Aptos"/>
                <w:b w:val="0"/>
                <w:sz w:val="16"/>
              </w:rPr>
              <w:t>Restart from a clean repository/integration baseline and converge the final Atlanticus structure with the validated Alarm Runtime / Process.</w:t>
            </w:r>
          </w:p>
        </w:tc>
      </w:tr>
      <w:tr>
        <w:trPr>
          <w:cantSplit/>
        </w:trPr>
        <w:tc>
          <w:tcPr>
            <w:tcW w:type="dxa" w:w="5184"/>
            <w:vAlign w:val="center"/>
            <w:shd w:fill="EDEDED"/>
          </w:tcPr>
          <w:p>
            <w:pPr>
              <w:spacing w:after="0"/>
            </w:pPr>
            <w:r/>
            <w:r>
              <w:rPr>
                <w:rFonts w:ascii="Aptos" w:hAnsi="Aptos"/>
                <w:b/>
                <w:sz w:val="16"/>
              </w:rPr>
              <w:t>Previous campaign</w:t>
            </w:r>
          </w:p>
        </w:tc>
        <w:tc>
          <w:tcPr>
            <w:tcW w:type="dxa" w:w="5184"/>
            <w:vAlign w:val="center"/>
          </w:tcPr>
          <w:p>
            <w:pPr>
              <w:spacing w:after="0"/>
            </w:pPr>
            <w:r/>
            <w:r>
              <w:rPr>
                <w:rFonts w:ascii="Aptos" w:hAnsi="Aptos"/>
                <w:b w:val="0"/>
                <w:sz w:val="16"/>
              </w:rPr>
              <w:t>R3.5 Performance / Stress — CLOSED PASS/GREEN</w:t>
            </w:r>
          </w:p>
        </w:tc>
      </w:tr>
      <w:tr>
        <w:trPr>
          <w:cantSplit/>
        </w:trPr>
        <w:tc>
          <w:tcPr>
            <w:tcW w:type="dxa" w:w="5184"/>
            <w:vAlign w:val="center"/>
            <w:shd w:fill="EDEDED"/>
          </w:tcPr>
          <w:p>
            <w:pPr>
              <w:spacing w:after="0"/>
            </w:pPr>
            <w:r/>
            <w:r>
              <w:rPr>
                <w:rFonts w:ascii="Aptos" w:hAnsi="Aptos"/>
                <w:b/>
                <w:sz w:val="16"/>
              </w:rPr>
              <w:t>Final qualification</w:t>
            </w:r>
          </w:p>
        </w:tc>
        <w:tc>
          <w:tcPr>
            <w:tcW w:type="dxa" w:w="5184"/>
            <w:vAlign w:val="center"/>
          </w:tcPr>
          <w:p>
            <w:pPr>
              <w:spacing w:after="0"/>
            </w:pPr>
            <w:r/>
            <w:r>
              <w:rPr>
                <w:rFonts w:ascii="Aptos" w:hAnsi="Aptos"/>
                <w:b w:val="0"/>
                <w:sz w:val="16"/>
              </w:rPr>
              <w:t>F-010 — CLOSED PASS/GREEN; run 09311e68</w:t>
            </w:r>
          </w:p>
        </w:tc>
      </w:tr>
      <w:tr>
        <w:trPr>
          <w:cantSplit/>
        </w:trPr>
        <w:tc>
          <w:tcPr>
            <w:tcW w:type="dxa" w:w="5184"/>
            <w:vAlign w:val="center"/>
            <w:shd w:fill="EDEDED"/>
          </w:tcPr>
          <w:p>
            <w:pPr>
              <w:spacing w:after="0"/>
            </w:pPr>
            <w:r/>
            <w:r>
              <w:rPr>
                <w:rFonts w:ascii="Aptos" w:hAnsi="Aptos"/>
                <w:b/>
                <w:sz w:val="16"/>
              </w:rPr>
              <w:t>Current priority</w:t>
            </w:r>
          </w:p>
        </w:tc>
        <w:tc>
          <w:tcPr>
            <w:tcW w:type="dxa" w:w="5184"/>
            <w:vAlign w:val="center"/>
          </w:tcPr>
          <w:p>
            <w:pPr>
              <w:spacing w:after="0"/>
            </w:pPr>
            <w:r/>
            <w:r>
              <w:rPr>
                <w:rFonts w:ascii="Aptos" w:hAnsi="Aptos"/>
                <w:b w:val="0"/>
                <w:sz w:val="16"/>
              </w:rPr>
              <w:t>Productization, repository cleanup, contract convergence and missing operational capabilities</w:t>
            </w:r>
          </w:p>
        </w:tc>
      </w:tr>
      <w:tr>
        <w:trPr>
          <w:cantSplit/>
        </w:trPr>
        <w:tc>
          <w:tcPr>
            <w:tcW w:type="dxa" w:w="5184"/>
            <w:vAlign w:val="center"/>
            <w:shd w:fill="EDEDED"/>
          </w:tcPr>
          <w:p>
            <w:pPr>
              <w:spacing w:after="0"/>
            </w:pPr>
            <w:r/>
            <w:r>
              <w:rPr>
                <w:rFonts w:ascii="Aptos" w:hAnsi="Aptos"/>
                <w:b/>
                <w:sz w:val="16"/>
              </w:rPr>
              <w:t>Azure qualification</w:t>
            </w:r>
          </w:p>
        </w:tc>
        <w:tc>
          <w:tcPr>
            <w:tcW w:type="dxa" w:w="5184"/>
            <w:vAlign w:val="center"/>
          </w:tcPr>
          <w:p>
            <w:pPr>
              <w:spacing w:after="0"/>
            </w:pPr>
            <w:r/>
            <w:r>
              <w:rPr>
                <w:rFonts w:ascii="Aptos" w:hAnsi="Aptos"/>
                <w:b w:val="0"/>
                <w:sz w:val="16"/>
              </w:rPr>
              <w:t>NOT ACTIVE — controlled Azure test deployment is unavailable</w:t>
            </w:r>
          </w:p>
        </w:tc>
      </w:tr>
      <w:tr>
        <w:trPr>
          <w:cantSplit/>
        </w:trPr>
        <w:tc>
          <w:tcPr>
            <w:tcW w:type="dxa" w:w="5184"/>
            <w:vAlign w:val="center"/>
            <w:shd w:fill="EDEDED"/>
          </w:tcPr>
          <w:p>
            <w:pPr>
              <w:spacing w:after="0"/>
            </w:pPr>
            <w:r/>
            <w:r>
              <w:rPr>
                <w:rFonts w:ascii="Aptos" w:hAnsi="Aptos"/>
                <w:b/>
                <w:sz w:val="16"/>
              </w:rPr>
              <w:t>Next mode</w:t>
            </w:r>
          </w:p>
        </w:tc>
        <w:tc>
          <w:tcPr>
            <w:tcW w:type="dxa" w:w="5184"/>
            <w:vAlign w:val="center"/>
          </w:tcPr>
          <w:p>
            <w:pPr>
              <w:spacing w:after="0"/>
            </w:pPr>
            <w:r/>
            <w:r>
              <w:rPr>
                <w:rFonts w:ascii="Aptos" w:hAnsi="Aptos"/>
                <w:b w:val="0"/>
                <w:sz w:val="16"/>
              </w:rPr>
              <w:t>Short focused increments; no new long stress campaign unless evidence requires it</w:t>
            </w:r>
          </w:p>
        </w:tc>
      </w:tr>
      <w:tr>
        <w:trPr>
          <w:cantSplit/>
        </w:trPr>
        <w:tc>
          <w:tcPr>
            <w:tcW w:type="dxa" w:w="5184"/>
            <w:vAlign w:val="center"/>
            <w:shd w:fill="EDEDED"/>
          </w:tcPr>
          <w:p>
            <w:pPr>
              <w:spacing w:after="0"/>
            </w:pPr>
            <w:r/>
            <w:r>
              <w:rPr>
                <w:rFonts w:ascii="Aptos" w:hAnsi="Aptos"/>
                <w:b/>
                <w:sz w:val="16"/>
              </w:rPr>
              <w:t>Canonical rule</w:t>
            </w:r>
          </w:p>
        </w:tc>
        <w:tc>
          <w:tcPr>
            <w:tcW w:type="dxa" w:w="5184"/>
            <w:vAlign w:val="center"/>
          </w:tcPr>
          <w:p>
            <w:pPr>
              <w:spacing w:after="0"/>
            </w:pPr>
            <w:r/>
            <w:r>
              <w:rPr>
                <w:rFonts w:ascii="Aptos" w:hAnsi="Aptos"/>
                <w:b w:val="0"/>
                <w:sz w:val="16"/>
              </w:rPr>
              <w:t>Contracts first, explicit composition, reuse validated behavior, retire temporary harnesses/previews</w:t>
            </w:r>
          </w:p>
        </w:tc>
      </w:tr>
    </w:tbl>
    <w:p>
      <w:pPr>
        <w:pStyle w:val="Heading1"/>
      </w:pPr>
      <w:r>
        <w:t>1. Why this handoff exists</w:t>
      </w:r>
    </w:p>
    <w:p>
      <w:r>
        <w:t>A new, cleaner Atlanticus structure is being integrated into the final repository and already consumes several existing contracts. During the R3.5 campaign, the Alarm Runtime and its Process composition evolved and received extensive qualification. The next task is therefore not to add more stress tests or move to Azure, but to reconcile both sides against a clean source tree and prove that the final Process still composes and executes the validated Runtime contracts correctly.</w:t>
      </w:r>
    </w:p>
    <w:p>
      <w:r>
        <w:t>This document is the authoritative handoff for a new chat. The files supplied in that chat become the authoritative source for current code and package versions; this handoff supplies the frozen decisions, validation expectations, working sequence and list of required inputs.</w:t>
      </w:r>
    </w:p>
    <w:p>
      <w:pPr>
        <w:pStyle w:val="Heading1"/>
      </w:pPr>
      <w:r>
        <w:t>2. Frozen technical conclusion from R3.5</w:t>
      </w:r>
    </w:p>
    <w:tbl>
      <w:tblPr>
        <w:tblStyle w:val="TableGrid"/>
        <w:tblW w:type="auto" w:w="0"/>
        <w:jc w:val="center"/>
        <w:tblLook w:firstColumn="1" w:firstRow="1" w:lastColumn="0" w:lastRow="0" w:noHBand="0" w:noVBand="1" w:val="04A0"/>
      </w:tblPr>
      <w:tblGrid>
        <w:gridCol w:w="5184"/>
        <w:gridCol w:w="5184"/>
      </w:tblGrid>
      <w:tr>
        <w:trPr>
          <w:cantSplit/>
        </w:trPr>
        <w:tc>
          <w:tcPr>
            <w:tcW w:type="dxa" w:w="3312"/>
            <w:vAlign w:val="center"/>
            <w:shd w:fill="D9E2F3"/>
          </w:tcPr>
          <w:p>
            <w:pPr>
              <w:spacing w:after="0"/>
            </w:pPr>
            <w:r/>
            <w:r>
              <w:rPr>
                <w:rFonts w:ascii="Aptos" w:hAnsi="Aptos"/>
                <w:b/>
                <w:sz w:val="16"/>
              </w:rPr>
              <w:t>Dimension</w:t>
            </w:r>
          </w:p>
        </w:tc>
        <w:tc>
          <w:tcPr>
            <w:tcW w:type="dxa" w:w="7272"/>
            <w:vAlign w:val="center"/>
            <w:shd w:fill="D9E2F3"/>
          </w:tcPr>
          <w:p>
            <w:pPr>
              <w:spacing w:after="0"/>
            </w:pPr>
            <w:r/>
            <w:r>
              <w:rPr>
                <w:rFonts w:ascii="Aptos" w:hAnsi="Aptos"/>
                <w:b/>
                <w:sz w:val="16"/>
              </w:rPr>
              <w:t>Frozen conclusion</w:t>
            </w:r>
          </w:p>
        </w:tc>
      </w:tr>
      <w:tr>
        <w:trPr>
          <w:cantSplit/>
        </w:trPr>
        <w:tc>
          <w:tcPr>
            <w:tcW w:type="dxa" w:w="3312"/>
            <w:vAlign w:val="center"/>
          </w:tcPr>
          <w:p>
            <w:pPr>
              <w:spacing w:after="0"/>
            </w:pPr>
            <w:r/>
            <w:r>
              <w:rPr>
                <w:rFonts w:ascii="Aptos" w:hAnsi="Aptos"/>
                <w:b w:val="0"/>
                <w:sz w:val="16"/>
              </w:rPr>
              <w:t>Campaign</w:t>
            </w:r>
          </w:p>
        </w:tc>
        <w:tc>
          <w:tcPr>
            <w:tcW w:type="dxa" w:w="7272"/>
            <w:vAlign w:val="center"/>
          </w:tcPr>
          <w:p>
            <w:pPr>
              <w:spacing w:after="0"/>
            </w:pPr>
            <w:r/>
            <w:r>
              <w:rPr>
                <w:rFonts w:ascii="Aptos" w:hAnsi="Aptos"/>
                <w:b w:val="0"/>
                <w:sz w:val="16"/>
              </w:rPr>
              <w:t>R3.5 CLOSED / PASS-GREEN</w:t>
            </w:r>
          </w:p>
        </w:tc>
      </w:tr>
      <w:tr>
        <w:trPr>
          <w:cantSplit/>
        </w:trPr>
        <w:tc>
          <w:tcPr>
            <w:tcW w:type="dxa" w:w="3312"/>
            <w:vAlign w:val="center"/>
          </w:tcPr>
          <w:p>
            <w:pPr>
              <w:spacing w:after="0"/>
            </w:pPr>
            <w:r/>
            <w:r>
              <w:rPr>
                <w:rFonts w:ascii="Aptos" w:hAnsi="Aptos"/>
                <w:b w:val="0"/>
                <w:sz w:val="16"/>
              </w:rPr>
              <w:t>Recommended envelope</w:t>
            </w:r>
          </w:p>
        </w:tc>
        <w:tc>
          <w:tcPr>
            <w:tcW w:type="dxa" w:w="7272"/>
            <w:vAlign w:val="center"/>
          </w:tcPr>
          <w:p>
            <w:pPr>
              <w:spacing w:after="0"/>
            </w:pPr>
            <w:r/>
            <w:r>
              <w:rPr>
                <w:rFonts w:ascii="Aptos" w:hAnsi="Aptos"/>
                <w:b w:val="0"/>
                <w:sz w:val="16"/>
              </w:rPr>
              <w:t>E2 = 1 CPU / 2 GiB</w:t>
            </w:r>
          </w:p>
        </w:tc>
      </w:tr>
      <w:tr>
        <w:trPr>
          <w:cantSplit/>
        </w:trPr>
        <w:tc>
          <w:tcPr>
            <w:tcW w:type="dxa" w:w="3312"/>
            <w:vAlign w:val="center"/>
          </w:tcPr>
          <w:p>
            <w:pPr>
              <w:spacing w:after="0"/>
            </w:pPr>
            <w:r/>
            <w:r>
              <w:rPr>
                <w:rFonts w:ascii="Aptos" w:hAnsi="Aptos"/>
                <w:b w:val="0"/>
                <w:sz w:val="16"/>
              </w:rPr>
              <w:t>Final integrated load</w:t>
            </w:r>
          </w:p>
        </w:tc>
        <w:tc>
          <w:tcPr>
            <w:tcW w:type="dxa" w:w="7272"/>
            <w:vAlign w:val="center"/>
          </w:tcPr>
          <w:p>
            <w:pPr>
              <w:spacing w:after="0"/>
            </w:pPr>
            <w:r/>
            <w:r>
              <w:rPr>
                <w:rFonts w:ascii="Aptos" w:hAnsi="Aptos"/>
                <w:b w:val="0"/>
                <w:sz w:val="16"/>
              </w:rPr>
              <w:t>1000 alarms, 1800 s, 5 s candidate cadence</w:t>
            </w:r>
          </w:p>
        </w:tc>
      </w:tr>
      <w:tr>
        <w:trPr>
          <w:cantSplit/>
        </w:trPr>
        <w:tc>
          <w:tcPr>
            <w:tcW w:type="dxa" w:w="3312"/>
            <w:vAlign w:val="center"/>
          </w:tcPr>
          <w:p>
            <w:pPr>
              <w:spacing w:after="0"/>
            </w:pPr>
            <w:r/>
            <w:r>
              <w:rPr>
                <w:rFonts w:ascii="Aptos" w:hAnsi="Aptos"/>
                <w:b w:val="0"/>
                <w:sz w:val="16"/>
              </w:rPr>
              <w:t>Final run</w:t>
            </w:r>
          </w:p>
        </w:tc>
        <w:tc>
          <w:tcPr>
            <w:tcW w:type="dxa" w:w="7272"/>
            <w:vAlign w:val="center"/>
          </w:tcPr>
          <w:p>
            <w:pPr>
              <w:spacing w:after="0"/>
            </w:pPr>
            <w:r/>
            <w:r>
              <w:rPr>
                <w:rFonts w:ascii="Aptos" w:hAnsi="Aptos"/>
                <w:b w:val="0"/>
                <w:sz w:val="16"/>
              </w:rPr>
              <w:t>09311e68 — 361/361 iterations, 0 overruns</w:t>
            </w:r>
          </w:p>
        </w:tc>
      </w:tr>
      <w:tr>
        <w:trPr>
          <w:cantSplit/>
        </w:trPr>
        <w:tc>
          <w:tcPr>
            <w:tcW w:type="dxa" w:w="3312"/>
            <w:vAlign w:val="center"/>
          </w:tcPr>
          <w:p>
            <w:pPr>
              <w:spacing w:after="0"/>
            </w:pPr>
            <w:r/>
            <w:r>
              <w:rPr>
                <w:rFonts w:ascii="Aptos" w:hAnsi="Aptos"/>
                <w:b w:val="0"/>
                <w:sz w:val="16"/>
              </w:rPr>
              <w:t>Iteration p95 / p99</w:t>
            </w:r>
          </w:p>
        </w:tc>
        <w:tc>
          <w:tcPr>
            <w:tcW w:type="dxa" w:w="7272"/>
            <w:vAlign w:val="center"/>
          </w:tcPr>
          <w:p>
            <w:pPr>
              <w:spacing w:after="0"/>
            </w:pPr>
            <w:r/>
            <w:r>
              <w:rPr>
                <w:rFonts w:ascii="Aptos" w:hAnsi="Aptos"/>
                <w:b w:val="0"/>
                <w:sz w:val="16"/>
              </w:rPr>
              <w:t>3500.548 ms / 4290.209 ms</w:t>
            </w:r>
          </w:p>
        </w:tc>
      </w:tr>
      <w:tr>
        <w:trPr>
          <w:cantSplit/>
        </w:trPr>
        <w:tc>
          <w:tcPr>
            <w:tcW w:type="dxa" w:w="3312"/>
            <w:vAlign w:val="center"/>
          </w:tcPr>
          <w:p>
            <w:pPr>
              <w:spacing w:after="0"/>
            </w:pPr>
            <w:r/>
            <w:r>
              <w:rPr>
                <w:rFonts w:ascii="Aptos" w:hAnsi="Aptos"/>
                <w:b w:val="0"/>
                <w:sz w:val="16"/>
              </w:rPr>
              <w:t>Durability</w:t>
            </w:r>
          </w:p>
        </w:tc>
        <w:tc>
          <w:tcPr>
            <w:tcW w:type="dxa" w:w="7272"/>
            <w:vAlign w:val="center"/>
          </w:tcPr>
          <w:p>
            <w:pPr>
              <w:spacing w:after="0"/>
            </w:pPr>
            <w:r/>
            <w:r>
              <w:rPr>
                <w:rFonts w:ascii="Aptos" w:hAnsi="Aptos"/>
                <w:b w:val="0"/>
                <w:sz w:val="16"/>
              </w:rPr>
              <w:t>2121 durable records; journal aligned; audit PASS</w:t>
            </w:r>
          </w:p>
        </w:tc>
      </w:tr>
      <w:tr>
        <w:trPr>
          <w:cantSplit/>
        </w:trPr>
        <w:tc>
          <w:tcPr>
            <w:tcW w:type="dxa" w:w="3312"/>
            <w:vAlign w:val="center"/>
          </w:tcPr>
          <w:p>
            <w:pPr>
              <w:spacing w:after="0"/>
            </w:pPr>
            <w:r/>
            <w:r>
              <w:rPr>
                <w:rFonts w:ascii="Aptos" w:hAnsi="Aptos"/>
                <w:b w:val="0"/>
                <w:sz w:val="16"/>
              </w:rPr>
              <w:t>Management + Decisions</w:t>
            </w:r>
          </w:p>
        </w:tc>
        <w:tc>
          <w:tcPr>
            <w:tcW w:type="dxa" w:w="7272"/>
            <w:vAlign w:val="center"/>
          </w:tcPr>
          <w:p>
            <w:pPr>
              <w:spacing w:after="0"/>
            </w:pPr>
            <w:r/>
            <w:r>
              <w:rPr>
                <w:rFonts w:ascii="Aptos" w:hAnsi="Aptos"/>
                <w:b w:val="0"/>
                <w:sz w:val="16"/>
              </w:rPr>
              <w:t>480/480 requests + 480/480 decisions; lifecycle exact; no losses/duplicates</w:t>
            </w:r>
          </w:p>
        </w:tc>
      </w:tr>
      <w:tr>
        <w:trPr>
          <w:cantSplit/>
        </w:trPr>
        <w:tc>
          <w:tcPr>
            <w:tcW w:type="dxa" w:w="3312"/>
            <w:vAlign w:val="center"/>
          </w:tcPr>
          <w:p>
            <w:pPr>
              <w:spacing w:after="0"/>
            </w:pPr>
            <w:r/>
            <w:r>
              <w:rPr>
                <w:rFonts w:ascii="Aptos" w:hAnsi="Aptos"/>
                <w:b w:val="0"/>
                <w:sz w:val="16"/>
              </w:rPr>
              <w:t>Compatible adoption</w:t>
            </w:r>
          </w:p>
        </w:tc>
        <w:tc>
          <w:tcPr>
            <w:tcW w:type="dxa" w:w="7272"/>
            <w:vAlign w:val="center"/>
          </w:tcPr>
          <w:p>
            <w:pPr>
              <w:spacing w:after="0"/>
            </w:pPr>
            <w:r/>
            <w:r>
              <w:rPr>
                <w:rFonts w:ascii="Aptos" w:hAnsi="Aptos"/>
                <w:b w:val="0"/>
                <w:sz w:val="16"/>
              </w:rPr>
              <w:t>1000 COMPATIBLE; threshold 0.50 → 0.75</w:t>
            </w:r>
          </w:p>
        </w:tc>
      </w:tr>
      <w:tr>
        <w:trPr>
          <w:cantSplit/>
        </w:trPr>
        <w:tc>
          <w:tcPr>
            <w:tcW w:type="dxa" w:w="3312"/>
            <w:vAlign w:val="center"/>
          </w:tcPr>
          <w:p>
            <w:pPr>
              <w:spacing w:after="0"/>
            </w:pPr>
            <w:r/>
            <w:r>
              <w:rPr>
                <w:rFonts w:ascii="Aptos" w:hAnsi="Aptos"/>
                <w:b w:val="0"/>
                <w:sz w:val="16"/>
              </w:rPr>
              <w:t>Open product findings</w:t>
            </w:r>
          </w:p>
        </w:tc>
        <w:tc>
          <w:tcPr>
            <w:tcW w:type="dxa" w:w="7272"/>
            <w:vAlign w:val="center"/>
          </w:tcPr>
          <w:p>
            <w:pPr>
              <w:spacing w:after="0"/>
            </w:pPr>
            <w:r/>
            <w:r>
              <w:rPr>
                <w:rFonts w:ascii="Aptos" w:hAnsi="Aptos"/>
                <w:b w:val="0"/>
                <w:sz w:val="16"/>
              </w:rPr>
              <w:t>None</w:t>
            </w:r>
          </w:p>
        </w:tc>
      </w:tr>
      <w:tr>
        <w:trPr>
          <w:cantSplit/>
        </w:trPr>
        <w:tc>
          <w:tcPr>
            <w:tcW w:type="dxa" w:w="3312"/>
            <w:vAlign w:val="center"/>
          </w:tcPr>
          <w:p>
            <w:pPr>
              <w:spacing w:after="0"/>
            </w:pPr>
            <w:r/>
            <w:r>
              <w:rPr>
                <w:rFonts w:ascii="Aptos" w:hAnsi="Aptos"/>
                <w:b w:val="0"/>
                <w:sz w:val="16"/>
              </w:rPr>
              <w:t>F-011 profiling</w:t>
            </w:r>
          </w:p>
        </w:tc>
        <w:tc>
          <w:tcPr>
            <w:tcW w:type="dxa" w:w="7272"/>
            <w:vAlign w:val="center"/>
          </w:tcPr>
          <w:p>
            <w:pPr>
              <w:spacing w:after="0"/>
            </w:pPr>
            <w:r/>
            <w:r>
              <w:rPr>
                <w:rFonts w:ascii="Aptos" w:hAnsi="Aptos"/>
                <w:b w:val="0"/>
                <w:sz w:val="16"/>
              </w:rPr>
              <w:t>Not Activated / Not Required</w:t>
            </w:r>
          </w:p>
        </w:tc>
      </w:tr>
    </w:tbl>
    <w:p>
      <w:pPr>
        <w:pStyle w:val="Heading1"/>
      </w:pPr>
      <w:r>
        <w:t>3. Roadmap correction</w:t>
      </w:r>
    </w:p>
    <w:p>
      <w:r>
        <w:t>The previously drafted Azure Deployment Qualification direction is superseded as the active next step. Azure may be revisited later for deployment work, but it cannot be used as the controlled qualification environment for the current development cycle.</w:t>
      </w:r>
    </w:p>
    <w:tbl>
      <w:tblPr>
        <w:tblStyle w:val="TableGrid"/>
        <w:tblW w:type="auto" w:w="0"/>
        <w:jc w:val="center"/>
        <w:tblLook w:firstColumn="1" w:firstRow="1" w:lastColumn="0" w:lastRow="0" w:noHBand="0" w:noVBand="1" w:val="04A0"/>
      </w:tblPr>
      <w:tblGrid>
        <w:gridCol w:w="5184"/>
        <w:gridCol w:w="5184"/>
      </w:tblGrid>
      <w:tr>
        <w:trPr>
          <w:cantSplit/>
        </w:trPr>
        <w:tc>
          <w:tcPr>
            <w:tcW w:type="dxa" w:w="4608"/>
            <w:vAlign w:val="center"/>
            <w:shd w:fill="D9E2F3"/>
          </w:tcPr>
          <w:p>
            <w:pPr>
              <w:spacing w:after="0"/>
            </w:pPr>
            <w:r/>
            <w:r>
              <w:rPr>
                <w:rFonts w:ascii="Aptos" w:hAnsi="Aptos"/>
                <w:b/>
                <w:sz w:val="16"/>
              </w:rPr>
              <w:t>Old direction</w:t>
            </w:r>
          </w:p>
        </w:tc>
        <w:tc>
          <w:tcPr>
            <w:tcW w:type="dxa" w:w="5976"/>
            <w:vAlign w:val="center"/>
            <w:shd w:fill="D9E2F3"/>
          </w:tcPr>
          <w:p>
            <w:pPr>
              <w:spacing w:after="0"/>
            </w:pPr>
            <w:r/>
            <w:r>
              <w:rPr>
                <w:rFonts w:ascii="Aptos" w:hAnsi="Aptos"/>
                <w:b/>
                <w:sz w:val="16"/>
              </w:rPr>
              <w:t>Current direction</w:t>
            </w:r>
          </w:p>
        </w:tc>
      </w:tr>
      <w:tr>
        <w:trPr>
          <w:cantSplit/>
        </w:trPr>
        <w:tc>
          <w:tcPr>
            <w:tcW w:type="dxa" w:w="4608"/>
            <w:vAlign w:val="center"/>
          </w:tcPr>
          <w:p>
            <w:pPr>
              <w:spacing w:after="0"/>
            </w:pPr>
            <w:r/>
            <w:r>
              <w:rPr>
                <w:rFonts w:ascii="Aptos" w:hAnsi="Aptos"/>
                <w:b w:val="0"/>
                <w:sz w:val="16"/>
              </w:rPr>
              <w:t>R3.6 — Azure Deployment Qualification</w:t>
            </w:r>
          </w:p>
        </w:tc>
        <w:tc>
          <w:tcPr>
            <w:tcW w:type="dxa" w:w="5976"/>
            <w:vAlign w:val="center"/>
          </w:tcPr>
          <w:p>
            <w:pPr>
              <w:spacing w:after="0"/>
            </w:pPr>
            <w:r/>
            <w:r>
              <w:rPr>
                <w:rFonts w:ascii="Aptos" w:hAnsi="Aptos"/>
                <w:b w:val="0"/>
                <w:sz w:val="16"/>
              </w:rPr>
              <w:t>SUPERSEDED as active roadmap</w:t>
            </w:r>
          </w:p>
        </w:tc>
      </w:tr>
      <w:tr>
        <w:trPr>
          <w:cantSplit/>
        </w:trPr>
        <w:tc>
          <w:tcPr>
            <w:tcW w:type="dxa" w:w="4608"/>
            <w:vAlign w:val="center"/>
          </w:tcPr>
          <w:p>
            <w:pPr>
              <w:spacing w:after="0"/>
            </w:pPr>
            <w:r/>
            <w:r>
              <w:rPr>
                <w:rFonts w:ascii="Aptos" w:hAnsi="Aptos"/>
                <w:b w:val="0"/>
                <w:sz w:val="16"/>
              </w:rPr>
              <w:t>Additional controlled Azure stress</w:t>
            </w:r>
          </w:p>
        </w:tc>
        <w:tc>
          <w:tcPr>
            <w:tcW w:type="dxa" w:w="5976"/>
            <w:vAlign w:val="center"/>
          </w:tcPr>
          <w:p>
            <w:pPr>
              <w:spacing w:after="0"/>
            </w:pPr>
            <w:r/>
            <w:r>
              <w:rPr>
                <w:rFonts w:ascii="Aptos" w:hAnsi="Aptos"/>
                <w:b w:val="0"/>
                <w:sz w:val="16"/>
              </w:rPr>
              <w:t>DO NOT PLAN</w:t>
            </w:r>
          </w:p>
        </w:tc>
      </w:tr>
      <w:tr>
        <w:trPr>
          <w:cantSplit/>
        </w:trPr>
        <w:tc>
          <w:tcPr>
            <w:tcW w:type="dxa" w:w="4608"/>
            <w:vAlign w:val="center"/>
          </w:tcPr>
          <w:p>
            <w:pPr>
              <w:spacing w:after="0"/>
            </w:pPr>
            <w:r/>
            <w:r>
              <w:rPr>
                <w:rFonts w:ascii="Aptos" w:hAnsi="Aptos"/>
                <w:b w:val="0"/>
                <w:sz w:val="16"/>
              </w:rPr>
              <w:t>Current R3.6</w:t>
            </w:r>
          </w:p>
        </w:tc>
        <w:tc>
          <w:tcPr>
            <w:tcW w:type="dxa" w:w="5976"/>
            <w:vAlign w:val="center"/>
          </w:tcPr>
          <w:p>
            <w:pPr>
              <w:spacing w:after="0"/>
            </w:pPr>
            <w:r/>
            <w:r>
              <w:rPr>
                <w:rFonts w:ascii="Aptos" w:hAnsi="Aptos"/>
                <w:b w:val="0"/>
                <w:sz w:val="16"/>
              </w:rPr>
              <w:t>Operational Productization &amp; Clean Integration</w:t>
            </w:r>
          </w:p>
        </w:tc>
      </w:tr>
      <w:tr>
        <w:trPr>
          <w:cantSplit/>
        </w:trPr>
        <w:tc>
          <w:tcPr>
            <w:tcW w:type="dxa" w:w="4608"/>
            <w:vAlign w:val="center"/>
          </w:tcPr>
          <w:p>
            <w:pPr>
              <w:spacing w:after="0"/>
            </w:pPr>
            <w:r/>
            <w:r>
              <w:rPr>
                <w:rFonts w:ascii="Aptos" w:hAnsi="Aptos"/>
                <w:b w:val="0"/>
                <w:sz w:val="16"/>
              </w:rPr>
              <w:t>Primary risk</w:t>
            </w:r>
          </w:p>
        </w:tc>
        <w:tc>
          <w:tcPr>
            <w:tcW w:type="dxa" w:w="5976"/>
            <w:vAlign w:val="center"/>
          </w:tcPr>
          <w:p>
            <w:pPr>
              <w:spacing w:after="0"/>
            </w:pPr>
            <w:r/>
            <w:r>
              <w:rPr>
                <w:rFonts w:ascii="Aptos" w:hAnsi="Aptos"/>
                <w:b w:val="0"/>
                <w:sz w:val="16"/>
              </w:rPr>
              <w:t>Contract/process integration gaps, missing product capabilities and repository debt</w:t>
            </w:r>
          </w:p>
        </w:tc>
      </w:tr>
    </w:tbl>
    <w:p>
      <w:pPr>
        <w:pStyle w:val="Heading1"/>
      </w:pPr>
      <w:r>
        <w:t>4. Target architecture to converge</w:t>
      </w:r>
    </w:p>
    <w:p>
      <w:r>
        <w:t>Treat the current work as two independently understandable pieces that must converge through explicit contracts:</w:t>
      </w:r>
    </w:p>
    <w:tbl>
      <w:tblPr>
        <w:tblStyle w:val="TableGrid"/>
        <w:tblW w:type="auto" w:w="0"/>
        <w:jc w:val="center"/>
        <w:tblLook w:firstColumn="1" w:firstRow="1" w:lastColumn="0" w:lastRow="0" w:noHBand="0" w:noVBand="1" w:val="04A0"/>
      </w:tblPr>
      <w:tblGrid>
        <w:gridCol w:w="5184"/>
        <w:gridCol w:w="5184"/>
      </w:tblGrid>
      <w:tr>
        <w:trPr>
          <w:cantSplit/>
        </w:trPr>
        <w:tc>
          <w:tcPr>
            <w:tcW w:type="dxa" w:w="5328"/>
            <w:vAlign w:val="center"/>
            <w:shd w:fill="D9E2F3"/>
          </w:tcPr>
          <w:p>
            <w:pPr>
              <w:spacing w:after="0"/>
            </w:pPr>
            <w:r/>
            <w:r>
              <w:rPr>
                <w:rFonts w:ascii="Aptos" w:hAnsi="Aptos"/>
                <w:b/>
                <w:sz w:val="16"/>
              </w:rPr>
              <w:t>Piece A — Final Atlanticus</w:t>
            </w:r>
          </w:p>
        </w:tc>
        <w:tc>
          <w:tcPr>
            <w:tcW w:type="dxa" w:w="5256"/>
            <w:vAlign w:val="center"/>
            <w:shd w:fill="D9E2F3"/>
          </w:tcPr>
          <w:p>
            <w:pPr>
              <w:spacing w:after="0"/>
            </w:pPr>
            <w:r/>
            <w:r>
              <w:rPr>
                <w:rFonts w:ascii="Aptos" w:hAnsi="Aptos"/>
                <w:b/>
                <w:sz w:val="16"/>
              </w:rPr>
              <w:t>Piece B — ADA Alarm execution</w:t>
            </w:r>
          </w:p>
        </w:tc>
      </w:tr>
      <w:tr>
        <w:trPr>
          <w:cantSplit/>
        </w:trPr>
        <w:tc>
          <w:tcPr>
            <w:tcW w:type="dxa" w:w="5328"/>
            <w:vAlign w:val="center"/>
          </w:tcPr>
          <w:p>
            <w:pPr>
              <w:spacing w:after="0"/>
            </w:pPr>
            <w:r/>
            <w:r>
              <w:rPr>
                <w:rFonts w:ascii="Aptos" w:hAnsi="Aptos"/>
                <w:b w:val="0"/>
                <w:sz w:val="16"/>
              </w:rPr>
              <w:t>Clean modular repository structure</w:t>
            </w:r>
          </w:p>
        </w:tc>
        <w:tc>
          <w:tcPr>
            <w:tcW w:type="dxa" w:w="5256"/>
            <w:vAlign w:val="center"/>
          </w:tcPr>
          <w:p>
            <w:pPr>
              <w:spacing w:after="0"/>
            </w:pPr>
            <w:r/>
            <w:r>
              <w:rPr>
                <w:rFonts w:ascii="Aptos" w:hAnsi="Aptos"/>
                <w:b w:val="0"/>
                <w:sz w:val="16"/>
              </w:rPr>
              <w:t>Alarm Runtime + Process composition</w:t>
            </w:r>
          </w:p>
        </w:tc>
      </w:tr>
      <w:tr>
        <w:trPr>
          <w:cantSplit/>
        </w:trPr>
        <w:tc>
          <w:tcPr>
            <w:tcW w:type="dxa" w:w="5328"/>
            <w:vAlign w:val="center"/>
          </w:tcPr>
          <w:p>
            <w:pPr>
              <w:spacing w:after="0"/>
            </w:pPr>
            <w:r/>
            <w:r>
              <w:rPr>
                <w:rFonts w:ascii="Aptos" w:hAnsi="Aptos"/>
                <w:b w:val="0"/>
                <w:sz w:val="16"/>
              </w:rPr>
              <w:t>Generic contracts and runtime foundations</w:t>
            </w:r>
          </w:p>
        </w:tc>
        <w:tc>
          <w:tcPr>
            <w:tcW w:type="dxa" w:w="5256"/>
            <w:vAlign w:val="center"/>
          </w:tcPr>
          <w:p>
            <w:pPr>
              <w:spacing w:after="0"/>
            </w:pPr>
            <w:r/>
            <w:r>
              <w:rPr>
                <w:rFonts w:ascii="Aptos" w:hAnsi="Aptos"/>
                <w:b w:val="0"/>
                <w:sz w:val="16"/>
              </w:rPr>
              <w:t>Alarm Core / Persistence / domain-specific behavior</w:t>
            </w:r>
          </w:p>
        </w:tc>
      </w:tr>
      <w:tr>
        <w:trPr>
          <w:cantSplit/>
        </w:trPr>
        <w:tc>
          <w:tcPr>
            <w:tcW w:type="dxa" w:w="5328"/>
            <w:vAlign w:val="center"/>
          </w:tcPr>
          <w:p>
            <w:pPr>
              <w:spacing w:after="0"/>
            </w:pPr>
            <w:r/>
            <w:r>
              <w:rPr>
                <w:rFonts w:ascii="Aptos" w:hAnsi="Aptos"/>
                <w:b w:val="0"/>
                <w:sz w:val="16"/>
              </w:rPr>
              <w:t>Data source / delivery abstractions</w:t>
            </w:r>
          </w:p>
        </w:tc>
        <w:tc>
          <w:tcPr>
            <w:tcW w:type="dxa" w:w="5256"/>
            <w:vAlign w:val="center"/>
          </w:tcPr>
          <w:p>
            <w:pPr>
              <w:spacing w:after="0"/>
            </w:pPr>
            <w:r/>
            <w:r>
              <w:rPr>
                <w:rFonts w:ascii="Aptos" w:hAnsi="Aptos"/>
                <w:b w:val="0"/>
                <w:sz w:val="16"/>
              </w:rPr>
              <w:t>Alarm Definition consumption</w:t>
            </w:r>
          </w:p>
        </w:tc>
      </w:tr>
      <w:tr>
        <w:trPr>
          <w:cantSplit/>
        </w:trPr>
        <w:tc>
          <w:tcPr>
            <w:tcW w:type="dxa" w:w="5328"/>
            <w:vAlign w:val="center"/>
          </w:tcPr>
          <w:p>
            <w:pPr>
              <w:spacing w:after="0"/>
            </w:pPr>
            <w:r/>
            <w:r>
              <w:rPr>
                <w:rFonts w:ascii="Aptos" w:hAnsi="Aptos"/>
                <w:b w:val="0"/>
                <w:sz w:val="16"/>
              </w:rPr>
              <w:t>Named connection/configuration patterns</w:t>
            </w:r>
          </w:p>
        </w:tc>
        <w:tc>
          <w:tcPr>
            <w:tcW w:type="dxa" w:w="5256"/>
            <w:vAlign w:val="center"/>
          </w:tcPr>
          <w:p>
            <w:pPr>
              <w:spacing w:after="0"/>
            </w:pPr>
            <w:r/>
            <w:r>
              <w:rPr>
                <w:rFonts w:ascii="Aptos" w:hAnsi="Aptos"/>
                <w:b w:val="0"/>
                <w:sz w:val="16"/>
              </w:rPr>
              <w:t>ManagementAction and Decision consumption</w:t>
            </w:r>
          </w:p>
        </w:tc>
      </w:tr>
      <w:tr>
        <w:trPr>
          <w:cantSplit/>
        </w:trPr>
        <w:tc>
          <w:tcPr>
            <w:tcW w:type="dxa" w:w="5328"/>
            <w:vAlign w:val="center"/>
          </w:tcPr>
          <w:p>
            <w:pPr>
              <w:spacing w:after="0"/>
            </w:pPr>
            <w:r/>
            <w:r>
              <w:rPr>
                <w:rFonts w:ascii="Aptos" w:hAnsi="Aptos"/>
                <w:b w:val="0"/>
                <w:sz w:val="16"/>
              </w:rPr>
              <w:t>Observability and platform composition</w:t>
            </w:r>
          </w:p>
        </w:tc>
        <w:tc>
          <w:tcPr>
            <w:tcW w:type="dxa" w:w="5256"/>
            <w:vAlign w:val="center"/>
          </w:tcPr>
          <w:p>
            <w:pPr>
              <w:spacing w:after="0"/>
            </w:pPr>
            <w:r/>
            <w:r>
              <w:rPr>
                <w:rFonts w:ascii="Aptos" w:hAnsi="Aptos"/>
                <w:b w:val="0"/>
                <w:sz w:val="16"/>
              </w:rPr>
              <w:t>Operational cycle / durable execution</w:t>
            </w:r>
          </w:p>
        </w:tc>
      </w:tr>
    </w:tbl>
    <w:p>
      <w:r>
        <w:t>The objective is not to merge code mechanically. First prove which contracts are already canonical, which side owns each responsibility and whether the Process is only composition or still contains behavior that belongs in Runtime/Core/Persistence.</w:t>
      </w:r>
    </w:p>
    <w:p>
      <w:pPr>
        <w:pStyle w:val="Heading1"/>
      </w:pPr>
      <w:r>
        <w:t>5. Immediate validation priority: Runtime and Process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vAlign w:val="center"/>
            <w:shd w:fill="D9E2F3"/>
          </w:tcPr>
          <w:p>
            <w:pPr>
              <w:spacing w:after="0"/>
            </w:pPr>
            <w:r/>
            <w:r>
              <w:rPr>
                <w:rFonts w:ascii="Aptos" w:hAnsi="Aptos"/>
                <w:b/>
                <w:sz w:val="16"/>
              </w:rPr>
              <w:t>Layer</w:t>
            </w:r>
          </w:p>
        </w:tc>
        <w:tc>
          <w:tcPr>
            <w:tcW w:type="dxa" w:w="7560"/>
            <w:vAlign w:val="center"/>
            <w:shd w:fill="D9E2F3"/>
          </w:tcPr>
          <w:p>
            <w:pPr>
              <w:spacing w:after="0"/>
            </w:pPr>
            <w:r/>
            <w:r>
              <w:rPr>
                <w:rFonts w:ascii="Aptos" w:hAnsi="Aptos"/>
                <w:b/>
                <w:sz w:val="16"/>
              </w:rPr>
              <w:t>What must be validated</w:t>
            </w:r>
          </w:p>
        </w:tc>
      </w:tr>
      <w:tr>
        <w:trPr>
          <w:cantSplit/>
        </w:trPr>
        <w:tc>
          <w:tcPr>
            <w:tcW w:type="dxa" w:w="3024"/>
            <w:vAlign w:val="center"/>
          </w:tcPr>
          <w:p>
            <w:pPr>
              <w:spacing w:after="0"/>
            </w:pPr>
            <w:r/>
            <w:r>
              <w:rPr>
                <w:rFonts w:ascii="Aptos" w:hAnsi="Aptos"/>
                <w:b w:val="0"/>
                <w:sz w:val="16"/>
              </w:rPr>
              <w:t>Runtime contract</w:t>
            </w:r>
          </w:p>
        </w:tc>
        <w:tc>
          <w:tcPr>
            <w:tcW w:type="dxa" w:w="7560"/>
            <w:vAlign w:val="center"/>
          </w:tcPr>
          <w:p>
            <w:pPr>
              <w:spacing w:after="0"/>
            </w:pPr>
            <w:r/>
            <w:r>
              <w:rPr>
                <w:rFonts w:ascii="Aptos" w:hAnsi="Aptos"/>
                <w:b w:val="0"/>
                <w:sz w:val="16"/>
              </w:rPr>
              <w:t>Current public inputs/outputs, execution lifecycle, deadlines/drain, lease/recovery behavior, durability expectations.</w:t>
            </w:r>
          </w:p>
        </w:tc>
      </w:tr>
      <w:tr>
        <w:trPr>
          <w:cantSplit/>
        </w:trPr>
        <w:tc>
          <w:tcPr>
            <w:tcW w:type="dxa" w:w="3024"/>
            <w:vAlign w:val="center"/>
          </w:tcPr>
          <w:p>
            <w:pPr>
              <w:spacing w:after="0"/>
            </w:pPr>
            <w:r/>
            <w:r>
              <w:rPr>
                <w:rFonts w:ascii="Aptos" w:hAnsi="Aptos"/>
                <w:b w:val="0"/>
                <w:sz w:val="16"/>
              </w:rPr>
              <w:t>Process contract</w:t>
            </w:r>
          </w:p>
        </w:tc>
        <w:tc>
          <w:tcPr>
            <w:tcW w:type="dxa" w:w="7560"/>
            <w:vAlign w:val="center"/>
          </w:tcPr>
          <w:p>
            <w:pPr>
              <w:spacing w:after="0"/>
            </w:pPr>
            <w:r/>
            <w:r>
              <w:rPr>
                <w:rFonts w:ascii="Aptos" w:hAnsi="Aptos"/>
                <w:b w:val="0"/>
                <w:sz w:val="16"/>
              </w:rPr>
              <w:t>Composition of Runtime + Core + Persistence + source loaders + configuration + management/decision inputs.</w:t>
            </w:r>
          </w:p>
        </w:tc>
      </w:tr>
      <w:tr>
        <w:trPr>
          <w:cantSplit/>
        </w:trPr>
        <w:tc>
          <w:tcPr>
            <w:tcW w:type="dxa" w:w="3024"/>
            <w:vAlign w:val="center"/>
          </w:tcPr>
          <w:p>
            <w:pPr>
              <w:spacing w:after="0"/>
            </w:pPr>
            <w:r/>
            <w:r>
              <w:rPr>
                <w:rFonts w:ascii="Aptos" w:hAnsi="Aptos"/>
                <w:b w:val="0"/>
                <w:sz w:val="16"/>
              </w:rPr>
              <w:t>Boundary</w:t>
            </w:r>
          </w:p>
        </w:tc>
        <w:tc>
          <w:tcPr>
            <w:tcW w:type="dxa" w:w="7560"/>
            <w:vAlign w:val="center"/>
          </w:tcPr>
          <w:p>
            <w:pPr>
              <w:spacing w:after="0"/>
            </w:pPr>
            <w:r/>
            <w:r>
              <w:rPr>
                <w:rFonts w:ascii="Aptos" w:hAnsi="Aptos"/>
                <w:b w:val="0"/>
                <w:sz w:val="16"/>
              </w:rPr>
              <w:t>No duplicated domain behavior across Process and Runtime.</w:t>
            </w:r>
          </w:p>
        </w:tc>
      </w:tr>
      <w:tr>
        <w:trPr>
          <w:cantSplit/>
        </w:trPr>
        <w:tc>
          <w:tcPr>
            <w:tcW w:type="dxa" w:w="3024"/>
            <w:vAlign w:val="center"/>
          </w:tcPr>
          <w:p>
            <w:pPr>
              <w:spacing w:after="0"/>
            </w:pPr>
            <w:r/>
            <w:r>
              <w:rPr>
                <w:rFonts w:ascii="Aptos" w:hAnsi="Aptos"/>
                <w:b w:val="0"/>
                <w:sz w:val="16"/>
              </w:rPr>
              <w:t>Compatibility</w:t>
            </w:r>
          </w:p>
        </w:tc>
        <w:tc>
          <w:tcPr>
            <w:tcW w:type="dxa" w:w="7560"/>
            <w:vAlign w:val="center"/>
          </w:tcPr>
          <w:p>
            <w:pPr>
              <w:spacing w:after="0"/>
            </w:pPr>
            <w:r/>
            <w:r>
              <w:rPr>
                <w:rFonts w:ascii="Aptos" w:hAnsi="Aptos"/>
                <w:b w:val="0"/>
                <w:sz w:val="16"/>
              </w:rPr>
              <w:t>The clean Atlanticus structure must satisfy the contracts the Alarm Process actually consumes.</w:t>
            </w:r>
          </w:p>
        </w:tc>
      </w:tr>
      <w:tr>
        <w:trPr>
          <w:cantSplit/>
        </w:trPr>
        <w:tc>
          <w:tcPr>
            <w:tcW w:type="dxa" w:w="3024"/>
            <w:vAlign w:val="center"/>
          </w:tcPr>
          <w:p>
            <w:pPr>
              <w:spacing w:after="0"/>
            </w:pPr>
            <w:r/>
            <w:r>
              <w:rPr>
                <w:rFonts w:ascii="Aptos" w:hAnsi="Aptos"/>
                <w:b w:val="0"/>
                <w:sz w:val="16"/>
              </w:rPr>
              <w:t>Regression</w:t>
            </w:r>
          </w:p>
        </w:tc>
        <w:tc>
          <w:tcPr>
            <w:tcW w:type="dxa" w:w="7560"/>
            <w:vAlign w:val="center"/>
          </w:tcPr>
          <w:p>
            <w:pPr>
              <w:spacing w:after="0"/>
            </w:pPr>
            <w:r/>
            <w:r>
              <w:rPr>
                <w:rFonts w:ascii="Aptos" w:hAnsi="Aptos"/>
                <w:b w:val="0"/>
                <w:sz w:val="16"/>
              </w:rPr>
              <w:t>Existing validated behavior must remain covered after cleanup/integration.</w:t>
            </w:r>
          </w:p>
        </w:tc>
      </w:tr>
      <w:tr>
        <w:trPr>
          <w:cantSplit/>
        </w:trPr>
        <w:tc>
          <w:tcPr>
            <w:tcW w:type="dxa" w:w="3024"/>
            <w:vAlign w:val="center"/>
          </w:tcPr>
          <w:p>
            <w:pPr>
              <w:spacing w:after="0"/>
            </w:pPr>
            <w:r/>
            <w:r>
              <w:rPr>
                <w:rFonts w:ascii="Aptos" w:hAnsi="Aptos"/>
                <w:b w:val="0"/>
                <w:sz w:val="16"/>
              </w:rPr>
              <w:t>Versioning</w:t>
            </w:r>
          </w:p>
        </w:tc>
        <w:tc>
          <w:tcPr>
            <w:tcW w:type="dxa" w:w="7560"/>
            <w:vAlign w:val="center"/>
          </w:tcPr>
          <w:p>
            <w:pPr>
              <w:spacing w:after="0"/>
            </w:pPr>
            <w:r/>
            <w:r>
              <w:rPr>
                <w:rFonts w:ascii="Aptos" w:hAnsi="Aptos"/>
                <w:b w:val="0"/>
                <w:sz w:val="16"/>
              </w:rPr>
              <w:t>Do not bump packages only because files moved; version only contract/behavior changes.</w:t>
            </w:r>
          </w:p>
        </w:tc>
      </w:tr>
    </w:tbl>
    <w:p>
      <w:pPr>
        <w:pStyle w:val="Heading1"/>
      </w:pPr>
      <w:r>
        <w:t>6. Product capabilities still missing or incomplete</w:t>
      </w:r>
    </w:p>
    <w:tbl>
      <w:tblPr>
        <w:tblStyle w:val="TableGrid"/>
        <w:tblW w:type="auto" w:w="0"/>
        <w:jc w:val="center"/>
        <w:tblLook w:firstColumn="1" w:firstRow="1" w:lastColumn="0" w:lastRow="0" w:noHBand="0" w:noVBand="1" w:val="04A0"/>
      </w:tblPr>
      <w:tblGrid>
        <w:gridCol w:w="5184"/>
        <w:gridCol w:w="5184"/>
      </w:tblGrid>
      <w:tr>
        <w:trPr>
          <w:cantSplit/>
        </w:trPr>
        <w:tc>
          <w:tcPr>
            <w:tcW w:type="dxa" w:w="3816"/>
            <w:vAlign w:val="center"/>
            <w:shd w:fill="D9E2F3"/>
          </w:tcPr>
          <w:p>
            <w:pPr>
              <w:spacing w:after="0"/>
            </w:pPr>
            <w:r/>
            <w:r>
              <w:rPr>
                <w:rFonts w:ascii="Aptos" w:hAnsi="Aptos"/>
                <w:b/>
                <w:sz w:val="16"/>
              </w:rPr>
              <w:t>Capability</w:t>
            </w:r>
          </w:p>
        </w:tc>
        <w:tc>
          <w:tcPr>
            <w:tcW w:type="dxa" w:w="6768"/>
            <w:vAlign w:val="center"/>
            <w:shd w:fill="D9E2F3"/>
          </w:tcPr>
          <w:p>
            <w:pPr>
              <w:spacing w:after="0"/>
            </w:pPr>
            <w:r/>
            <w:r>
              <w:rPr>
                <w:rFonts w:ascii="Aptos" w:hAnsi="Aptos"/>
                <w:b/>
                <w:sz w:val="16"/>
              </w:rPr>
              <w:t>Priority / current intention</w:t>
            </w:r>
          </w:p>
        </w:tc>
      </w:tr>
      <w:tr>
        <w:trPr>
          <w:cantSplit/>
        </w:trPr>
        <w:tc>
          <w:tcPr>
            <w:tcW w:type="dxa" w:w="3816"/>
            <w:vAlign w:val="center"/>
          </w:tcPr>
          <w:p>
            <w:pPr>
              <w:spacing w:after="0"/>
            </w:pPr>
            <w:r/>
            <w:r>
              <w:rPr>
                <w:rFonts w:ascii="Aptos" w:hAnsi="Aptos"/>
                <w:b w:val="0"/>
                <w:sz w:val="16"/>
              </w:rPr>
              <w:t>Alarm Definition contract</w:t>
            </w:r>
          </w:p>
        </w:tc>
        <w:tc>
          <w:tcPr>
            <w:tcW w:type="dxa" w:w="6768"/>
            <w:vAlign w:val="center"/>
          </w:tcPr>
          <w:p>
            <w:pPr>
              <w:spacing w:after="0"/>
            </w:pPr>
            <w:r/>
            <w:r>
              <w:rPr>
                <w:rFonts w:ascii="Aptos" w:hAnsi="Aptos"/>
                <w:b w:val="0"/>
                <w:sz w:val="16"/>
              </w:rPr>
              <w:t>HIGH — freeze the canonical runtime-ready alarm configuration.</w:t>
            </w:r>
          </w:p>
        </w:tc>
      </w:tr>
      <w:tr>
        <w:trPr>
          <w:cantSplit/>
        </w:trPr>
        <w:tc>
          <w:tcPr>
            <w:tcW w:type="dxa" w:w="3816"/>
            <w:vAlign w:val="center"/>
          </w:tcPr>
          <w:p>
            <w:pPr>
              <w:spacing w:after="0"/>
            </w:pPr>
            <w:r/>
            <w:r>
              <w:rPr>
                <w:rFonts w:ascii="Aptos" w:hAnsi="Aptos"/>
                <w:b w:val="0"/>
                <w:sz w:val="16"/>
              </w:rPr>
              <w:t>Configuration source</w:t>
            </w:r>
          </w:p>
        </w:tc>
        <w:tc>
          <w:tcPr>
            <w:tcW w:type="dxa" w:w="6768"/>
            <w:vAlign w:val="center"/>
          </w:tcPr>
          <w:p>
            <w:pPr>
              <w:spacing w:after="0"/>
            </w:pPr>
            <w:r/>
            <w:r>
              <w:rPr>
                <w:rFonts w:ascii="Aptos" w:hAnsi="Aptos"/>
                <w:b w:val="0"/>
                <w:sz w:val="16"/>
              </w:rPr>
              <w:t>HIGH — define how stored configuration is obtained/versioned.</w:t>
            </w:r>
          </w:p>
        </w:tc>
      </w:tr>
      <w:tr>
        <w:trPr>
          <w:cantSplit/>
        </w:trPr>
        <w:tc>
          <w:tcPr>
            <w:tcW w:type="dxa" w:w="3816"/>
            <w:vAlign w:val="center"/>
          </w:tcPr>
          <w:p>
            <w:pPr>
              <w:spacing w:after="0"/>
            </w:pPr>
            <w:r/>
            <w:r>
              <w:rPr>
                <w:rFonts w:ascii="Aptos" w:hAnsi="Aptos"/>
                <w:b w:val="0"/>
                <w:sz w:val="16"/>
              </w:rPr>
              <w:t>Configuration resolver/output</w:t>
            </w:r>
          </w:p>
        </w:tc>
        <w:tc>
          <w:tcPr>
            <w:tcW w:type="dxa" w:w="6768"/>
            <w:vAlign w:val="center"/>
          </w:tcPr>
          <w:p>
            <w:pPr>
              <w:spacing w:after="0"/>
            </w:pPr>
            <w:r/>
            <w:r>
              <w:rPr>
                <w:rFonts w:ascii="Aptos" w:hAnsi="Aptos"/>
                <w:b w:val="0"/>
                <w:sz w:val="16"/>
              </w:rPr>
              <w:t>HIGH — produce one validated canonical output ready for Alarm Runtime.</w:t>
            </w:r>
          </w:p>
        </w:tc>
      </w:tr>
      <w:tr>
        <w:trPr>
          <w:cantSplit/>
        </w:trPr>
        <w:tc>
          <w:tcPr>
            <w:tcW w:type="dxa" w:w="3816"/>
            <w:vAlign w:val="center"/>
          </w:tcPr>
          <w:p>
            <w:pPr>
              <w:spacing w:after="0"/>
            </w:pPr>
            <w:r/>
            <w:r>
              <w:rPr>
                <w:rFonts w:ascii="Aptos" w:hAnsi="Aptos"/>
                <w:b w:val="0"/>
                <w:sz w:val="16"/>
              </w:rPr>
              <w:t>Configuration UI backend</w:t>
            </w:r>
          </w:p>
        </w:tc>
        <w:tc>
          <w:tcPr>
            <w:tcW w:type="dxa" w:w="6768"/>
            <w:vAlign w:val="center"/>
          </w:tcPr>
          <w:p>
            <w:pPr>
              <w:spacing w:after="0"/>
            </w:pPr>
            <w:r/>
            <w:r>
              <w:rPr>
                <w:rFonts w:ascii="Aptos" w:hAnsi="Aptos"/>
                <w:b w:val="0"/>
                <w:sz w:val="16"/>
              </w:rPr>
              <w:t>HIGH — contract-first; UI does not construct internal runtime objects directly.</w:t>
            </w:r>
          </w:p>
        </w:tc>
      </w:tr>
      <w:tr>
        <w:trPr>
          <w:cantSplit/>
        </w:trPr>
        <w:tc>
          <w:tcPr>
            <w:tcW w:type="dxa" w:w="3816"/>
            <w:vAlign w:val="center"/>
          </w:tcPr>
          <w:p>
            <w:pPr>
              <w:spacing w:after="0"/>
            </w:pPr>
            <w:r/>
            <w:r>
              <w:rPr>
                <w:rFonts w:ascii="Aptos" w:hAnsi="Aptos"/>
                <w:b w:val="0"/>
                <w:sz w:val="16"/>
              </w:rPr>
              <w:t>Configuration UI</w:t>
            </w:r>
          </w:p>
        </w:tc>
        <w:tc>
          <w:tcPr>
            <w:tcW w:type="dxa" w:w="6768"/>
            <w:vAlign w:val="center"/>
          </w:tcPr>
          <w:p>
            <w:pPr>
              <w:spacing w:after="0"/>
            </w:pPr>
            <w:r/>
            <w:r>
              <w:rPr>
                <w:rFonts w:ascii="Aptos" w:hAnsi="Aptos"/>
                <w:b w:val="0"/>
                <w:sz w:val="16"/>
              </w:rPr>
              <w:t>HIGH — operational authoring/editing after backend contract is stable.</w:t>
            </w:r>
          </w:p>
        </w:tc>
      </w:tr>
      <w:tr>
        <w:trPr>
          <w:cantSplit/>
        </w:trPr>
        <w:tc>
          <w:tcPr>
            <w:tcW w:type="dxa" w:w="3816"/>
            <w:vAlign w:val="center"/>
          </w:tcPr>
          <w:p>
            <w:pPr>
              <w:spacing w:after="0"/>
            </w:pPr>
            <w:r/>
            <w:r>
              <w:rPr>
                <w:rFonts w:ascii="Aptos" w:hAnsi="Aptos"/>
                <w:b w:val="0"/>
                <w:sz w:val="16"/>
              </w:rPr>
              <w:t>Source acquisition contract</w:t>
            </w:r>
          </w:p>
        </w:tc>
        <w:tc>
          <w:tcPr>
            <w:tcW w:type="dxa" w:w="6768"/>
            <w:vAlign w:val="center"/>
          </w:tcPr>
          <w:p>
            <w:pPr>
              <w:spacing w:after="0"/>
            </w:pPr>
            <w:r/>
            <w:r>
              <w:rPr>
                <w:rFonts w:ascii="Aptos" w:hAnsi="Aptos"/>
                <w:b w:val="0"/>
                <w:sz w:val="16"/>
              </w:rPr>
              <w:t>HIGH — resolve required Tool sources into providers/adapters.</w:t>
            </w:r>
          </w:p>
        </w:tc>
      </w:tr>
      <w:tr>
        <w:trPr>
          <w:cantSplit/>
        </w:trPr>
        <w:tc>
          <w:tcPr>
            <w:tcW w:type="dxa" w:w="3816"/>
            <w:vAlign w:val="center"/>
          </w:tcPr>
          <w:p>
            <w:pPr>
              <w:spacing w:after="0"/>
            </w:pPr>
            <w:r/>
            <w:r>
              <w:rPr>
                <w:rFonts w:ascii="Aptos" w:hAnsi="Aptos"/>
                <w:b w:val="0"/>
                <w:sz w:val="16"/>
              </w:rPr>
              <w:t>PI / optional source adapters</w:t>
            </w:r>
          </w:p>
        </w:tc>
        <w:tc>
          <w:tcPr>
            <w:tcW w:type="dxa" w:w="6768"/>
            <w:vAlign w:val="center"/>
          </w:tcPr>
          <w:p>
            <w:pPr>
              <w:spacing w:after="0"/>
            </w:pPr>
            <w:r/>
            <w:r>
              <w:rPr>
                <w:rFonts w:ascii="Aptos" w:hAnsi="Aptos"/>
                <w:b w:val="0"/>
                <w:sz w:val="16"/>
              </w:rPr>
              <w:t>HIGH/MEDIUM — integrate only declared sources; preserve named/provider composition.</w:t>
            </w:r>
          </w:p>
        </w:tc>
      </w:tr>
      <w:tr>
        <w:trPr>
          <w:cantSplit/>
        </w:trPr>
        <w:tc>
          <w:tcPr>
            <w:tcW w:type="dxa" w:w="3816"/>
            <w:vAlign w:val="center"/>
          </w:tcPr>
          <w:p>
            <w:pPr>
              <w:spacing w:after="0"/>
            </w:pPr>
            <w:r/>
            <w:r>
              <w:rPr>
                <w:rFonts w:ascii="Aptos" w:hAnsi="Aptos"/>
                <w:b w:val="0"/>
                <w:sz w:val="16"/>
              </w:rPr>
              <w:t>Normalized data delivery</w:t>
            </w:r>
          </w:p>
        </w:tc>
        <w:tc>
          <w:tcPr>
            <w:tcW w:type="dxa" w:w="6768"/>
            <w:vAlign w:val="center"/>
          </w:tcPr>
          <w:p>
            <w:pPr>
              <w:spacing w:after="0"/>
            </w:pPr>
            <w:r/>
            <w:r>
              <w:rPr>
                <w:rFonts w:ascii="Aptos" w:hAnsi="Aptos"/>
                <w:b w:val="0"/>
                <w:sz w:val="16"/>
              </w:rPr>
              <w:t>HIGH — reuse existing DatasetRuntime/Delivery contracts where possible.</w:t>
            </w:r>
          </w:p>
        </w:tc>
      </w:tr>
      <w:tr>
        <w:trPr>
          <w:cantSplit/>
        </w:trPr>
        <w:tc>
          <w:tcPr>
            <w:tcW w:type="dxa" w:w="3816"/>
            <w:vAlign w:val="center"/>
          </w:tcPr>
          <w:p>
            <w:pPr>
              <w:spacing w:after="0"/>
            </w:pPr>
            <w:r/>
            <w:r>
              <w:rPr>
                <w:rFonts w:ascii="Aptos" w:hAnsi="Aptos"/>
                <w:b w:val="0"/>
                <w:sz w:val="16"/>
              </w:rPr>
              <w:t>ManagementAction acquisition</w:t>
            </w:r>
          </w:p>
        </w:tc>
        <w:tc>
          <w:tcPr>
            <w:tcW w:type="dxa" w:w="6768"/>
            <w:vAlign w:val="center"/>
          </w:tcPr>
          <w:p>
            <w:pPr>
              <w:spacing w:after="0"/>
            </w:pPr>
            <w:r/>
            <w:r>
              <w:rPr>
                <w:rFonts w:ascii="Aptos" w:hAnsi="Aptos"/>
                <w:b w:val="0"/>
                <w:sz w:val="16"/>
              </w:rPr>
              <w:t>MEDIUM-HIGH — real source/process feeding the already validated runtime contract.</w:t>
            </w:r>
          </w:p>
        </w:tc>
      </w:tr>
      <w:tr>
        <w:trPr>
          <w:cantSplit/>
        </w:trPr>
        <w:tc>
          <w:tcPr>
            <w:tcW w:type="dxa" w:w="3816"/>
            <w:vAlign w:val="center"/>
          </w:tcPr>
          <w:p>
            <w:pPr>
              <w:spacing w:after="0"/>
            </w:pPr>
            <w:r/>
            <w:r>
              <w:rPr>
                <w:rFonts w:ascii="Aptos" w:hAnsi="Aptos"/>
                <w:b w:val="0"/>
                <w:sz w:val="16"/>
              </w:rPr>
              <w:t>Approved deactivation Decision acquisition</w:t>
            </w:r>
          </w:p>
        </w:tc>
        <w:tc>
          <w:tcPr>
            <w:tcW w:type="dxa" w:w="6768"/>
            <w:vAlign w:val="center"/>
          </w:tcPr>
          <w:p>
            <w:pPr>
              <w:spacing w:after="0"/>
            </w:pPr>
            <w:r/>
            <w:r>
              <w:rPr>
                <w:rFonts w:ascii="Aptos" w:hAnsi="Aptos"/>
                <w:b w:val="0"/>
                <w:sz w:val="16"/>
              </w:rPr>
              <w:t>DEFERRED for now — runtime behavior already validated; source integration can follow.</w:t>
            </w:r>
          </w:p>
        </w:tc>
      </w:tr>
      <w:tr>
        <w:trPr>
          <w:cantSplit/>
        </w:trPr>
        <w:tc>
          <w:tcPr>
            <w:tcW w:type="dxa" w:w="3816"/>
            <w:vAlign w:val="center"/>
          </w:tcPr>
          <w:p>
            <w:pPr>
              <w:spacing w:after="0"/>
            </w:pPr>
            <w:r/>
            <w:r>
              <w:rPr>
                <w:rFonts w:ascii="Aptos" w:hAnsi="Aptos"/>
                <w:b w:val="0"/>
                <w:sz w:val="16"/>
              </w:rPr>
              <w:t>End-to-end operational composition</w:t>
            </w:r>
          </w:p>
        </w:tc>
        <w:tc>
          <w:tcPr>
            <w:tcW w:type="dxa" w:w="6768"/>
            <w:vAlign w:val="center"/>
          </w:tcPr>
          <w:p>
            <w:pPr>
              <w:spacing w:after="0"/>
            </w:pPr>
            <w:r/>
            <w:r>
              <w:rPr>
                <w:rFonts w:ascii="Aptos" w:hAnsi="Aptos"/>
                <w:b w:val="0"/>
                <w:sz w:val="16"/>
              </w:rPr>
              <w:t>HIGH once Configuration + Sources + Management path exist.</w:t>
            </w:r>
          </w:p>
        </w:tc>
      </w:tr>
    </w:tbl>
    <w:p>
      <w:pPr>
        <w:pStyle w:val="Heading1"/>
      </w:pPr>
      <w:r>
        <w:t>7. Suggested R3.6 workstream</w:t>
      </w:r>
    </w:p>
    <w:tbl>
      <w:tblPr>
        <w:tblStyle w:val="TableGrid"/>
        <w:tblW w:type="auto" w:w="0"/>
        <w:jc w:val="center"/>
        <w:tblLook w:firstColumn="1" w:firstRow="1" w:lastColumn="0" w:lastRow="0" w:noHBand="0" w:noVBand="1" w:val="04A0"/>
      </w:tblPr>
      <w:tblGrid>
        <w:gridCol w:w="5184"/>
        <w:gridCol w:w="5184"/>
      </w:tblGrid>
      <w:tr>
        <w:trPr>
          <w:cantSplit/>
        </w:trPr>
        <w:tc>
          <w:tcPr>
            <w:tcW w:type="dxa" w:w="2376"/>
            <w:vAlign w:val="center"/>
            <w:shd w:fill="D9E2F3"/>
          </w:tcPr>
          <w:p>
            <w:pPr>
              <w:spacing w:after="0"/>
            </w:pPr>
            <w:r/>
            <w:r>
              <w:rPr>
                <w:rFonts w:ascii="Aptos" w:hAnsi="Aptos"/>
                <w:b/>
                <w:sz w:val="16"/>
              </w:rPr>
              <w:t>Increment</w:t>
            </w:r>
          </w:p>
        </w:tc>
        <w:tc>
          <w:tcPr>
            <w:tcW w:type="dxa" w:w="8208"/>
            <w:vAlign w:val="center"/>
            <w:shd w:fill="D9E2F3"/>
          </w:tcPr>
          <w:p>
            <w:pPr>
              <w:spacing w:after="0"/>
            </w:pPr>
            <w:r/>
            <w:r>
              <w:rPr>
                <w:rFonts w:ascii="Aptos" w:hAnsi="Aptos"/>
                <w:b/>
                <w:sz w:val="16"/>
              </w:rPr>
              <w:t>Objective</w:t>
            </w:r>
          </w:p>
        </w:tc>
      </w:tr>
      <w:tr>
        <w:trPr>
          <w:cantSplit/>
        </w:trPr>
        <w:tc>
          <w:tcPr>
            <w:tcW w:type="dxa" w:w="2376"/>
            <w:vAlign w:val="center"/>
          </w:tcPr>
          <w:p>
            <w:pPr>
              <w:spacing w:after="0"/>
            </w:pPr>
            <w:r/>
            <w:r>
              <w:rPr>
                <w:rFonts w:ascii="Aptos" w:hAnsi="Aptos"/>
                <w:b w:val="0"/>
                <w:sz w:val="16"/>
              </w:rPr>
              <w:t>R3.6A-001</w:t>
            </w:r>
          </w:p>
        </w:tc>
        <w:tc>
          <w:tcPr>
            <w:tcW w:type="dxa" w:w="8208"/>
            <w:vAlign w:val="center"/>
          </w:tcPr>
          <w:p>
            <w:pPr>
              <w:spacing w:after="0"/>
            </w:pPr>
            <w:r/>
            <w:r>
              <w:rPr>
                <w:rFonts w:ascii="Aptos" w:hAnsi="Aptos"/>
                <w:b w:val="0"/>
                <w:sz w:val="16"/>
              </w:rPr>
              <w:t>Clean repository inventory + productive baseline freeze</w:t>
            </w:r>
          </w:p>
        </w:tc>
      </w:tr>
      <w:tr>
        <w:trPr>
          <w:cantSplit/>
        </w:trPr>
        <w:tc>
          <w:tcPr>
            <w:tcW w:type="dxa" w:w="2376"/>
            <w:vAlign w:val="center"/>
          </w:tcPr>
          <w:p>
            <w:pPr>
              <w:spacing w:after="0"/>
            </w:pPr>
            <w:r/>
            <w:r>
              <w:rPr>
                <w:rFonts w:ascii="Aptos" w:hAnsi="Aptos"/>
                <w:b w:val="0"/>
                <w:sz w:val="16"/>
              </w:rPr>
              <w:t>R3.6A-002</w:t>
            </w:r>
          </w:p>
        </w:tc>
        <w:tc>
          <w:tcPr>
            <w:tcW w:type="dxa" w:w="8208"/>
            <w:vAlign w:val="center"/>
          </w:tcPr>
          <w:p>
            <w:pPr>
              <w:spacing w:after="0"/>
            </w:pPr>
            <w:r/>
            <w:r>
              <w:rPr>
                <w:rFonts w:ascii="Aptos" w:hAnsi="Aptos"/>
                <w:b w:val="0"/>
                <w:sz w:val="16"/>
              </w:rPr>
              <w:t>Runtime contract reconciliation against final Atlanticus</w:t>
            </w:r>
          </w:p>
        </w:tc>
      </w:tr>
      <w:tr>
        <w:trPr>
          <w:cantSplit/>
        </w:trPr>
        <w:tc>
          <w:tcPr>
            <w:tcW w:type="dxa" w:w="2376"/>
            <w:vAlign w:val="center"/>
          </w:tcPr>
          <w:p>
            <w:pPr>
              <w:spacing w:after="0"/>
            </w:pPr>
            <w:r/>
            <w:r>
              <w:rPr>
                <w:rFonts w:ascii="Aptos" w:hAnsi="Aptos"/>
                <w:b w:val="0"/>
                <w:sz w:val="16"/>
              </w:rPr>
              <w:t>R3.6A-003</w:t>
            </w:r>
          </w:p>
        </w:tc>
        <w:tc>
          <w:tcPr>
            <w:tcW w:type="dxa" w:w="8208"/>
            <w:vAlign w:val="center"/>
          </w:tcPr>
          <w:p>
            <w:pPr>
              <w:spacing w:after="0"/>
            </w:pPr>
            <w:r/>
            <w:r>
              <w:rPr>
                <w:rFonts w:ascii="Aptos" w:hAnsi="Aptos"/>
                <w:b w:val="0"/>
                <w:sz w:val="16"/>
              </w:rPr>
              <w:t>Process composition reconciliation + focused regression</w:t>
            </w:r>
          </w:p>
        </w:tc>
      </w:tr>
      <w:tr>
        <w:trPr>
          <w:cantSplit/>
        </w:trPr>
        <w:tc>
          <w:tcPr>
            <w:tcW w:type="dxa" w:w="2376"/>
            <w:vAlign w:val="center"/>
          </w:tcPr>
          <w:p>
            <w:pPr>
              <w:spacing w:after="0"/>
            </w:pPr>
            <w:r/>
            <w:r>
              <w:rPr>
                <w:rFonts w:ascii="Aptos" w:hAnsi="Aptos"/>
                <w:b w:val="0"/>
                <w:sz w:val="16"/>
              </w:rPr>
              <w:t>R3.6B-001</w:t>
            </w:r>
          </w:p>
        </w:tc>
        <w:tc>
          <w:tcPr>
            <w:tcW w:type="dxa" w:w="8208"/>
            <w:vAlign w:val="center"/>
          </w:tcPr>
          <w:p>
            <w:pPr>
              <w:spacing w:after="0"/>
            </w:pPr>
            <w:r/>
            <w:r>
              <w:rPr>
                <w:rFonts w:ascii="Aptos" w:hAnsi="Aptos"/>
                <w:b w:val="0"/>
                <w:sz w:val="16"/>
              </w:rPr>
              <w:t>Freeze canonical Alarm Definition contract</w:t>
            </w:r>
          </w:p>
        </w:tc>
      </w:tr>
      <w:tr>
        <w:trPr>
          <w:cantSplit/>
        </w:trPr>
        <w:tc>
          <w:tcPr>
            <w:tcW w:type="dxa" w:w="2376"/>
            <w:vAlign w:val="center"/>
          </w:tcPr>
          <w:p>
            <w:pPr>
              <w:spacing w:after="0"/>
            </w:pPr>
            <w:r/>
            <w:r>
              <w:rPr>
                <w:rFonts w:ascii="Aptos" w:hAnsi="Aptos"/>
                <w:b w:val="0"/>
                <w:sz w:val="16"/>
              </w:rPr>
              <w:t>R3.6B-002</w:t>
            </w:r>
          </w:p>
        </w:tc>
        <w:tc>
          <w:tcPr>
            <w:tcW w:type="dxa" w:w="8208"/>
            <w:vAlign w:val="center"/>
          </w:tcPr>
          <w:p>
            <w:pPr>
              <w:spacing w:after="0"/>
            </w:pPr>
            <w:r/>
            <w:r>
              <w:rPr>
                <w:rFonts w:ascii="Aptos" w:hAnsi="Aptos"/>
                <w:b w:val="0"/>
                <w:sz w:val="16"/>
              </w:rPr>
              <w:t>Configuration source + resolver + runtime-ready output contract</w:t>
            </w:r>
          </w:p>
        </w:tc>
      </w:tr>
      <w:tr>
        <w:trPr>
          <w:cantSplit/>
        </w:trPr>
        <w:tc>
          <w:tcPr>
            <w:tcW w:type="dxa" w:w="2376"/>
            <w:vAlign w:val="center"/>
          </w:tcPr>
          <w:p>
            <w:pPr>
              <w:spacing w:after="0"/>
            </w:pPr>
            <w:r/>
            <w:r>
              <w:rPr>
                <w:rFonts w:ascii="Aptos" w:hAnsi="Aptos"/>
                <w:b w:val="0"/>
                <w:sz w:val="16"/>
              </w:rPr>
              <w:t>R3.6B-003</w:t>
            </w:r>
          </w:p>
        </w:tc>
        <w:tc>
          <w:tcPr>
            <w:tcW w:type="dxa" w:w="8208"/>
            <w:vAlign w:val="center"/>
          </w:tcPr>
          <w:p>
            <w:pPr>
              <w:spacing w:after="0"/>
            </w:pPr>
            <w:r/>
            <w:r>
              <w:rPr>
                <w:rFonts w:ascii="Aptos" w:hAnsi="Aptos"/>
                <w:b w:val="0"/>
                <w:sz w:val="16"/>
              </w:rPr>
              <w:t>Configuration backend/UI integration</w:t>
            </w:r>
          </w:p>
        </w:tc>
      </w:tr>
      <w:tr>
        <w:trPr>
          <w:cantSplit/>
        </w:trPr>
        <w:tc>
          <w:tcPr>
            <w:tcW w:type="dxa" w:w="2376"/>
            <w:vAlign w:val="center"/>
          </w:tcPr>
          <w:p>
            <w:pPr>
              <w:spacing w:after="0"/>
            </w:pPr>
            <w:r/>
            <w:r>
              <w:rPr>
                <w:rFonts w:ascii="Aptos" w:hAnsi="Aptos"/>
                <w:b w:val="0"/>
                <w:sz w:val="16"/>
              </w:rPr>
              <w:t>R3.6C-001</w:t>
            </w:r>
          </w:p>
        </w:tc>
        <w:tc>
          <w:tcPr>
            <w:tcW w:type="dxa" w:w="8208"/>
            <w:vAlign w:val="center"/>
          </w:tcPr>
          <w:p>
            <w:pPr>
              <w:spacing w:after="0"/>
            </w:pPr>
            <w:r/>
            <w:r>
              <w:rPr>
                <w:rFonts w:ascii="Aptos" w:hAnsi="Aptos"/>
                <w:b w:val="0"/>
                <w:sz w:val="16"/>
              </w:rPr>
              <w:t>Source requirement/provider composition</w:t>
            </w:r>
          </w:p>
        </w:tc>
      </w:tr>
      <w:tr>
        <w:trPr>
          <w:cantSplit/>
        </w:trPr>
        <w:tc>
          <w:tcPr>
            <w:tcW w:type="dxa" w:w="2376"/>
            <w:vAlign w:val="center"/>
          </w:tcPr>
          <w:p>
            <w:pPr>
              <w:spacing w:after="0"/>
            </w:pPr>
            <w:r/>
            <w:r>
              <w:rPr>
                <w:rFonts w:ascii="Aptos" w:hAnsi="Aptos"/>
                <w:b w:val="0"/>
                <w:sz w:val="16"/>
              </w:rPr>
              <w:t>R3.6C-002</w:t>
            </w:r>
          </w:p>
        </w:tc>
        <w:tc>
          <w:tcPr>
            <w:tcW w:type="dxa" w:w="8208"/>
            <w:vAlign w:val="center"/>
          </w:tcPr>
          <w:p>
            <w:pPr>
              <w:spacing w:after="0"/>
            </w:pPr>
            <w:r/>
            <w:r>
              <w:rPr>
                <w:rFonts w:ascii="Aptos" w:hAnsi="Aptos"/>
                <w:b w:val="0"/>
                <w:sz w:val="16"/>
              </w:rPr>
              <w:t>Physical source acquisition + normalized delivery</w:t>
            </w:r>
          </w:p>
        </w:tc>
      </w:tr>
      <w:tr>
        <w:trPr>
          <w:cantSplit/>
        </w:trPr>
        <w:tc>
          <w:tcPr>
            <w:tcW w:type="dxa" w:w="2376"/>
            <w:vAlign w:val="center"/>
          </w:tcPr>
          <w:p>
            <w:pPr>
              <w:spacing w:after="0"/>
            </w:pPr>
            <w:r/>
            <w:r>
              <w:rPr>
                <w:rFonts w:ascii="Aptos" w:hAnsi="Aptos"/>
                <w:b w:val="0"/>
                <w:sz w:val="16"/>
              </w:rPr>
              <w:t>R3.6D-001</w:t>
            </w:r>
          </w:p>
        </w:tc>
        <w:tc>
          <w:tcPr>
            <w:tcW w:type="dxa" w:w="8208"/>
            <w:vAlign w:val="center"/>
          </w:tcPr>
          <w:p>
            <w:pPr>
              <w:spacing w:after="0"/>
            </w:pPr>
            <w:r/>
            <w:r>
              <w:rPr>
                <w:rFonts w:ascii="Aptos" w:hAnsi="Aptos"/>
                <w:b w:val="0"/>
                <w:sz w:val="16"/>
              </w:rPr>
              <w:t>ManagementAction source/acquisition/delivery</w:t>
            </w:r>
          </w:p>
        </w:tc>
      </w:tr>
      <w:tr>
        <w:trPr>
          <w:cantSplit/>
        </w:trPr>
        <w:tc>
          <w:tcPr>
            <w:tcW w:type="dxa" w:w="2376"/>
            <w:vAlign w:val="center"/>
          </w:tcPr>
          <w:p>
            <w:pPr>
              <w:spacing w:after="0"/>
            </w:pPr>
            <w:r/>
            <w:r>
              <w:rPr>
                <w:rFonts w:ascii="Aptos" w:hAnsi="Aptos"/>
                <w:b w:val="0"/>
                <w:sz w:val="16"/>
              </w:rPr>
              <w:t>R3.6D-002</w:t>
            </w:r>
          </w:p>
        </w:tc>
        <w:tc>
          <w:tcPr>
            <w:tcW w:type="dxa" w:w="8208"/>
            <w:vAlign w:val="center"/>
          </w:tcPr>
          <w:p>
            <w:pPr>
              <w:spacing w:after="0"/>
            </w:pPr>
            <w:r/>
            <w:r>
              <w:rPr>
                <w:rFonts w:ascii="Aptos" w:hAnsi="Aptos"/>
                <w:b w:val="0"/>
                <w:sz w:val="16"/>
              </w:rPr>
              <w:t>Approved deactivation Decision acquisition when needed</w:t>
            </w:r>
          </w:p>
        </w:tc>
      </w:tr>
      <w:tr>
        <w:trPr>
          <w:cantSplit/>
        </w:trPr>
        <w:tc>
          <w:tcPr>
            <w:tcW w:type="dxa" w:w="2376"/>
            <w:vAlign w:val="center"/>
          </w:tcPr>
          <w:p>
            <w:pPr>
              <w:spacing w:after="0"/>
            </w:pPr>
            <w:r/>
            <w:r>
              <w:rPr>
                <w:rFonts w:ascii="Aptos" w:hAnsi="Aptos"/>
                <w:b w:val="0"/>
                <w:sz w:val="16"/>
              </w:rPr>
              <w:t>R3.6E-001</w:t>
            </w:r>
          </w:p>
        </w:tc>
        <w:tc>
          <w:tcPr>
            <w:tcW w:type="dxa" w:w="8208"/>
            <w:vAlign w:val="center"/>
          </w:tcPr>
          <w:p>
            <w:pPr>
              <w:spacing w:after="0"/>
            </w:pPr>
            <w:r/>
            <w:r>
              <w:rPr>
                <w:rFonts w:ascii="Aptos" w:hAnsi="Aptos"/>
                <w:b w:val="0"/>
                <w:sz w:val="16"/>
              </w:rPr>
              <w:t>Final end-to-end operational composition and smoke</w:t>
            </w:r>
          </w:p>
        </w:tc>
      </w:tr>
    </w:tbl>
    <w:p>
      <w:r>
        <w:t>These identifiers are sequencing aids, not a requirement to create unnecessary packages or documents. Several increments may close immediately if the clean repository already contains the required contracts.</w:t>
      </w:r>
    </w:p>
    <w:p>
      <w:pPr>
        <w:pStyle w:val="Heading1"/>
      </w:pPr>
      <w:r>
        <w:t>8. What to send in the new chat</w:t>
      </w:r>
    </w:p>
    <w:p>
      <w:r>
        <w:t>Upload the smallest authoritative set that lets the integration be reconstructed without assumptions. ZIPs are preferable for source trees.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936"/>
            <w:vAlign w:val="center"/>
            <w:shd w:fill="D9E2F3"/>
          </w:tcPr>
          <w:p>
            <w:pPr>
              <w:spacing w:after="0"/>
            </w:pPr>
            <w:r/>
            <w:r>
              <w:rPr>
                <w:rFonts w:ascii="Aptos" w:hAnsi="Aptos"/>
                <w:b/>
                <w:sz w:val="16"/>
              </w:rPr>
              <w:t>Priority</w:t>
            </w:r>
          </w:p>
        </w:tc>
        <w:tc>
          <w:tcPr>
            <w:tcW w:type="dxa" w:w="5112"/>
            <w:vAlign w:val="center"/>
            <w:shd w:fill="D9E2F3"/>
          </w:tcPr>
          <w:p>
            <w:pPr>
              <w:spacing w:after="0"/>
            </w:pPr>
            <w:r/>
            <w:r>
              <w:rPr>
                <w:rFonts w:ascii="Aptos" w:hAnsi="Aptos"/>
                <w:b/>
                <w:sz w:val="16"/>
              </w:rPr>
              <w:t>Input to upload</w:t>
            </w:r>
          </w:p>
        </w:tc>
        <w:tc>
          <w:tcPr>
            <w:tcW w:type="dxa" w:w="4536"/>
            <w:vAlign w:val="center"/>
            <w:shd w:fill="D9E2F3"/>
          </w:tcPr>
          <w:p>
            <w:pPr>
              <w:spacing w:after="0"/>
            </w:pPr>
            <w:r/>
            <w:r>
              <w:rPr>
                <w:rFonts w:ascii="Aptos" w:hAnsi="Aptos"/>
                <w:b/>
                <w:sz w:val="16"/>
              </w:rPr>
              <w:t>Why</w:t>
            </w:r>
          </w:p>
        </w:tc>
      </w:tr>
      <w:tr>
        <w:trPr>
          <w:cantSplit/>
        </w:trPr>
        <w:tc>
          <w:tcPr>
            <w:tcW w:type="dxa" w:w="936"/>
            <w:vAlign w:val="center"/>
          </w:tcPr>
          <w:p>
            <w:pPr>
              <w:spacing w:after="0"/>
            </w:pPr>
            <w:r/>
            <w:r>
              <w:rPr>
                <w:rFonts w:ascii="Aptos" w:hAnsi="Aptos"/>
                <w:b w:val="0"/>
                <w:sz w:val="16"/>
              </w:rPr>
              <w:t>1</w:t>
            </w:r>
          </w:p>
        </w:tc>
        <w:tc>
          <w:tcPr>
            <w:tcW w:type="dxa" w:w="5112"/>
            <w:vAlign w:val="center"/>
          </w:tcPr>
          <w:p>
            <w:pPr>
              <w:spacing w:after="0"/>
            </w:pPr>
            <w:r/>
            <w:r>
              <w:rPr>
                <w:rFonts w:ascii="Aptos" w:hAnsi="Aptos"/>
                <w:b w:val="0"/>
                <w:sz w:val="16"/>
              </w:rPr>
              <w:t>Current clean/final `atlanticus` repository or the relevant subtree</w:t>
            </w:r>
          </w:p>
        </w:tc>
        <w:tc>
          <w:tcPr>
            <w:tcW w:type="dxa" w:w="4536"/>
            <w:vAlign w:val="center"/>
          </w:tcPr>
          <w:p>
            <w:pPr>
              <w:spacing w:after="0"/>
            </w:pPr>
            <w:r/>
            <w:r>
              <w:rPr>
                <w:rFonts w:ascii="Aptos" w:hAnsi="Aptos"/>
                <w:b w:val="0"/>
                <w:sz w:val="16"/>
              </w:rPr>
              <w:t>Authoritative new structure.</w:t>
            </w:r>
          </w:p>
        </w:tc>
      </w:tr>
      <w:tr>
        <w:trPr>
          <w:cantSplit/>
        </w:trPr>
        <w:tc>
          <w:tcPr>
            <w:tcW w:type="dxa" w:w="936"/>
            <w:vAlign w:val="center"/>
          </w:tcPr>
          <w:p>
            <w:pPr>
              <w:spacing w:after="0"/>
            </w:pPr>
            <w:r/>
            <w:r>
              <w:rPr>
                <w:rFonts w:ascii="Aptos" w:hAnsi="Aptos"/>
                <w:b w:val="0"/>
                <w:sz w:val="16"/>
              </w:rPr>
              <w:t>2</w:t>
            </w:r>
          </w:p>
        </w:tc>
        <w:tc>
          <w:tcPr>
            <w:tcW w:type="dxa" w:w="5112"/>
            <w:vAlign w:val="center"/>
          </w:tcPr>
          <w:p>
            <w:pPr>
              <w:spacing w:after="0"/>
            </w:pPr>
            <w:r/>
            <w:r>
              <w:rPr>
                <w:rFonts w:ascii="Aptos" w:hAnsi="Aptos"/>
                <w:b w:val="0"/>
                <w:sz w:val="16"/>
              </w:rPr>
              <w:t>Repository tree (`tree`/file listing) if the ZIP is large</w:t>
            </w:r>
          </w:p>
        </w:tc>
        <w:tc>
          <w:tcPr>
            <w:tcW w:type="dxa" w:w="4536"/>
            <w:vAlign w:val="center"/>
          </w:tcPr>
          <w:p>
            <w:pPr>
              <w:spacing w:after="0"/>
            </w:pPr>
            <w:r/>
            <w:r>
              <w:rPr>
                <w:rFonts w:ascii="Aptos" w:hAnsi="Aptos"/>
                <w:b w:val="0"/>
                <w:sz w:val="16"/>
              </w:rPr>
              <w:t>Fast architectural inventory.</w:t>
            </w:r>
          </w:p>
        </w:tc>
      </w:tr>
      <w:tr>
        <w:trPr>
          <w:cantSplit/>
        </w:trPr>
        <w:tc>
          <w:tcPr>
            <w:tcW w:type="dxa" w:w="936"/>
            <w:vAlign w:val="center"/>
          </w:tcPr>
          <w:p>
            <w:pPr>
              <w:spacing w:after="0"/>
            </w:pPr>
            <w:r/>
            <w:r>
              <w:rPr>
                <w:rFonts w:ascii="Aptos" w:hAnsi="Aptos"/>
                <w:b w:val="0"/>
                <w:sz w:val="16"/>
              </w:rPr>
              <w:t>3</w:t>
            </w:r>
          </w:p>
        </w:tc>
        <w:tc>
          <w:tcPr>
            <w:tcW w:type="dxa" w:w="5112"/>
            <w:vAlign w:val="center"/>
          </w:tcPr>
          <w:p>
            <w:pPr>
              <w:spacing w:after="0"/>
            </w:pPr>
            <w:r/>
            <w:r>
              <w:rPr>
                <w:rFonts w:ascii="Aptos" w:hAnsi="Aptos"/>
                <w:b w:val="0"/>
                <w:sz w:val="16"/>
              </w:rPr>
              <w:t>All contract packages currently consumed by the new structure</w:t>
            </w:r>
          </w:p>
        </w:tc>
        <w:tc>
          <w:tcPr>
            <w:tcW w:type="dxa" w:w="4536"/>
            <w:vAlign w:val="center"/>
          </w:tcPr>
          <w:p>
            <w:pPr>
              <w:spacing w:after="0"/>
            </w:pPr>
            <w:r/>
            <w:r>
              <w:rPr>
                <w:rFonts w:ascii="Aptos" w:hAnsi="Aptos"/>
                <w:b w:val="0"/>
                <w:sz w:val="16"/>
              </w:rPr>
              <w:t>Map ownership and compatibility.</w:t>
            </w:r>
          </w:p>
        </w:tc>
      </w:tr>
      <w:tr>
        <w:trPr>
          <w:cantSplit/>
        </w:trPr>
        <w:tc>
          <w:tcPr>
            <w:tcW w:type="dxa" w:w="936"/>
            <w:vAlign w:val="center"/>
          </w:tcPr>
          <w:p>
            <w:pPr>
              <w:spacing w:after="0"/>
            </w:pPr>
            <w:r/>
            <w:r>
              <w:rPr>
                <w:rFonts w:ascii="Aptos" w:hAnsi="Aptos"/>
                <w:b w:val="0"/>
                <w:sz w:val="16"/>
              </w:rPr>
              <w:t>4</w:t>
            </w:r>
          </w:p>
        </w:tc>
        <w:tc>
          <w:tcPr>
            <w:tcW w:type="dxa" w:w="5112"/>
            <w:vAlign w:val="center"/>
          </w:tcPr>
          <w:p>
            <w:pPr>
              <w:spacing w:after="0"/>
            </w:pPr>
            <w:r/>
            <w:r>
              <w:rPr>
                <w:rFonts w:ascii="Aptos" w:hAnsi="Aptos"/>
                <w:b w:val="0"/>
                <w:sz w:val="16"/>
              </w:rPr>
              <w:t>Current Alarm Runtime source/package</w:t>
            </w:r>
          </w:p>
        </w:tc>
        <w:tc>
          <w:tcPr>
            <w:tcW w:type="dxa" w:w="4536"/>
            <w:vAlign w:val="center"/>
          </w:tcPr>
          <w:p>
            <w:pPr>
              <w:spacing w:after="0"/>
            </w:pPr>
            <w:r/>
            <w:r>
              <w:rPr>
                <w:rFonts w:ascii="Aptos" w:hAnsi="Aptos"/>
                <w:b w:val="0"/>
                <w:sz w:val="16"/>
              </w:rPr>
              <w:t>Validate contract after R3.5 evolution.</w:t>
            </w:r>
          </w:p>
        </w:tc>
      </w:tr>
      <w:tr>
        <w:trPr>
          <w:cantSplit/>
        </w:trPr>
        <w:tc>
          <w:tcPr>
            <w:tcW w:type="dxa" w:w="936"/>
            <w:vAlign w:val="center"/>
          </w:tcPr>
          <w:p>
            <w:pPr>
              <w:spacing w:after="0"/>
            </w:pPr>
            <w:r/>
            <w:r>
              <w:rPr>
                <w:rFonts w:ascii="Aptos" w:hAnsi="Aptos"/>
                <w:b w:val="0"/>
                <w:sz w:val="16"/>
              </w:rPr>
              <w:t>5</w:t>
            </w:r>
          </w:p>
        </w:tc>
        <w:tc>
          <w:tcPr>
            <w:tcW w:type="dxa" w:w="5112"/>
            <w:vAlign w:val="center"/>
          </w:tcPr>
          <w:p>
            <w:pPr>
              <w:spacing w:after="0"/>
            </w:pPr>
            <w:r/>
            <w:r>
              <w:rPr>
                <w:rFonts w:ascii="Aptos" w:hAnsi="Aptos"/>
                <w:b w:val="0"/>
                <w:sz w:val="16"/>
              </w:rPr>
              <w:t>Current Alarm Process source/package</w:t>
            </w:r>
          </w:p>
        </w:tc>
        <w:tc>
          <w:tcPr>
            <w:tcW w:type="dxa" w:w="4536"/>
            <w:vAlign w:val="center"/>
          </w:tcPr>
          <w:p>
            <w:pPr>
              <w:spacing w:after="0"/>
            </w:pPr>
            <w:r/>
            <w:r>
              <w:rPr>
                <w:rFonts w:ascii="Aptos" w:hAnsi="Aptos"/>
                <w:b w:val="0"/>
                <w:sz w:val="16"/>
              </w:rPr>
              <w:t>Validate composition against Runtime and Atlanticus.</w:t>
            </w:r>
          </w:p>
        </w:tc>
      </w:tr>
      <w:tr>
        <w:trPr>
          <w:cantSplit/>
        </w:trPr>
        <w:tc>
          <w:tcPr>
            <w:tcW w:type="dxa" w:w="936"/>
            <w:vAlign w:val="center"/>
          </w:tcPr>
          <w:p>
            <w:pPr>
              <w:spacing w:after="0"/>
            </w:pPr>
            <w:r/>
            <w:r>
              <w:rPr>
                <w:rFonts w:ascii="Aptos" w:hAnsi="Aptos"/>
                <w:b w:val="0"/>
                <w:sz w:val="16"/>
              </w:rPr>
              <w:t>6</w:t>
            </w:r>
          </w:p>
        </w:tc>
        <w:tc>
          <w:tcPr>
            <w:tcW w:type="dxa" w:w="5112"/>
            <w:vAlign w:val="center"/>
          </w:tcPr>
          <w:p>
            <w:pPr>
              <w:spacing w:after="0"/>
            </w:pPr>
            <w:r/>
            <w:r>
              <w:rPr>
                <w:rFonts w:ascii="Aptos" w:hAnsi="Aptos"/>
                <w:b w:val="0"/>
                <w:sz w:val="16"/>
              </w:rPr>
              <w:t>Alarm Core + Persistence packages used by Process</w:t>
            </w:r>
          </w:p>
        </w:tc>
        <w:tc>
          <w:tcPr>
            <w:tcW w:type="dxa" w:w="4536"/>
            <w:vAlign w:val="center"/>
          </w:tcPr>
          <w:p>
            <w:pPr>
              <w:spacing w:after="0"/>
            </w:pPr>
            <w:r/>
            <w:r>
              <w:rPr>
                <w:rFonts w:ascii="Aptos" w:hAnsi="Aptos"/>
                <w:b w:val="0"/>
                <w:sz w:val="16"/>
              </w:rPr>
              <w:t>Trace responsibility/durability seams.</w:t>
            </w:r>
          </w:p>
        </w:tc>
      </w:tr>
      <w:tr>
        <w:trPr>
          <w:cantSplit/>
        </w:trPr>
        <w:tc>
          <w:tcPr>
            <w:tcW w:type="dxa" w:w="936"/>
            <w:vAlign w:val="center"/>
          </w:tcPr>
          <w:p>
            <w:pPr>
              <w:spacing w:after="0"/>
            </w:pPr>
            <w:r/>
            <w:r>
              <w:rPr>
                <w:rFonts w:ascii="Aptos" w:hAnsi="Aptos"/>
                <w:b w:val="0"/>
                <w:sz w:val="16"/>
              </w:rPr>
              <w:t>7</w:t>
            </w:r>
          </w:p>
        </w:tc>
        <w:tc>
          <w:tcPr>
            <w:tcW w:type="dxa" w:w="5112"/>
            <w:vAlign w:val="center"/>
          </w:tcPr>
          <w:p>
            <w:pPr>
              <w:spacing w:after="0"/>
            </w:pPr>
            <w:r/>
            <w:r>
              <w:rPr>
                <w:rFonts w:ascii="Aptos" w:hAnsi="Aptos"/>
                <w:b w:val="0"/>
                <w:sz w:val="16"/>
              </w:rPr>
              <w:t>Relevant `pyproject.toml` files + `uv.lock`</w:t>
            </w:r>
          </w:p>
        </w:tc>
        <w:tc>
          <w:tcPr>
            <w:tcW w:type="dxa" w:w="4536"/>
            <w:vAlign w:val="center"/>
          </w:tcPr>
          <w:p>
            <w:pPr>
              <w:spacing w:after="0"/>
            </w:pPr>
            <w:r/>
            <w:r>
              <w:rPr>
                <w:rFonts w:ascii="Aptos" w:hAnsi="Aptos"/>
                <w:b w:val="0"/>
                <w:sz w:val="16"/>
              </w:rPr>
              <w:t>Resolve package/version/dependency truth.</w:t>
            </w:r>
          </w:p>
        </w:tc>
      </w:tr>
      <w:tr>
        <w:trPr>
          <w:cantSplit/>
        </w:trPr>
        <w:tc>
          <w:tcPr>
            <w:tcW w:type="dxa" w:w="936"/>
            <w:vAlign w:val="center"/>
          </w:tcPr>
          <w:p>
            <w:pPr>
              <w:spacing w:after="0"/>
            </w:pPr>
            <w:r/>
            <w:r>
              <w:rPr>
                <w:rFonts w:ascii="Aptos" w:hAnsi="Aptos"/>
                <w:b w:val="0"/>
                <w:sz w:val="16"/>
              </w:rPr>
              <w:t>8</w:t>
            </w:r>
          </w:p>
        </w:tc>
        <w:tc>
          <w:tcPr>
            <w:tcW w:type="dxa" w:w="5112"/>
            <w:vAlign w:val="center"/>
          </w:tcPr>
          <w:p>
            <w:pPr>
              <w:spacing w:after="0"/>
            </w:pPr>
            <w:r/>
            <w:r>
              <w:rPr>
                <w:rFonts w:ascii="Aptos" w:hAnsi="Aptos"/>
                <w:b w:val="0"/>
                <w:sz w:val="16"/>
              </w:rPr>
              <w:t>Current tests for Runtime/Process and any integration tests</w:t>
            </w:r>
          </w:p>
        </w:tc>
        <w:tc>
          <w:tcPr>
            <w:tcW w:type="dxa" w:w="4536"/>
            <w:vAlign w:val="center"/>
          </w:tcPr>
          <w:p>
            <w:pPr>
              <w:spacing w:after="0"/>
            </w:pPr>
            <w:r/>
            <w:r>
              <w:rPr>
                <w:rFonts w:ascii="Aptos" w:hAnsi="Aptos"/>
                <w:b w:val="0"/>
                <w:sz w:val="16"/>
              </w:rPr>
              <w:t>Preserve validated behavior.</w:t>
            </w:r>
          </w:p>
        </w:tc>
      </w:tr>
      <w:tr>
        <w:trPr>
          <w:cantSplit/>
        </w:trPr>
        <w:tc>
          <w:tcPr>
            <w:tcW w:type="dxa" w:w="936"/>
            <w:vAlign w:val="center"/>
          </w:tcPr>
          <w:p>
            <w:pPr>
              <w:spacing w:after="0"/>
            </w:pPr>
            <w:r/>
            <w:r>
              <w:rPr>
                <w:rFonts w:ascii="Aptos" w:hAnsi="Aptos"/>
                <w:b w:val="0"/>
                <w:sz w:val="16"/>
              </w:rPr>
              <w:t>9</w:t>
            </w:r>
          </w:p>
        </w:tc>
        <w:tc>
          <w:tcPr>
            <w:tcW w:type="dxa" w:w="5112"/>
            <w:vAlign w:val="center"/>
          </w:tcPr>
          <w:p>
            <w:pPr>
              <w:spacing w:after="0"/>
            </w:pPr>
            <w:r/>
            <w:r>
              <w:rPr>
                <w:rFonts w:ascii="Aptos" w:hAnsi="Aptos"/>
                <w:b w:val="0"/>
                <w:sz w:val="16"/>
              </w:rPr>
              <w:t>Any current architecture/contracts/checkpoints from the new structure</w:t>
            </w:r>
          </w:p>
        </w:tc>
        <w:tc>
          <w:tcPr>
            <w:tcW w:type="dxa" w:w="4536"/>
            <w:vAlign w:val="center"/>
          </w:tcPr>
          <w:p>
            <w:pPr>
              <w:spacing w:after="0"/>
            </w:pPr>
            <w:r/>
            <w:r>
              <w:rPr>
                <w:rFonts w:ascii="Aptos" w:hAnsi="Aptos"/>
                <w:b w:val="0"/>
                <w:sz w:val="16"/>
              </w:rPr>
              <w:t>Avoid re-deciding already frozen contracts.</w:t>
            </w:r>
          </w:p>
        </w:tc>
      </w:tr>
      <w:tr>
        <w:trPr>
          <w:cantSplit/>
        </w:trPr>
        <w:tc>
          <w:tcPr>
            <w:tcW w:type="dxa" w:w="936"/>
            <w:vAlign w:val="center"/>
          </w:tcPr>
          <w:p>
            <w:pPr>
              <w:spacing w:after="0"/>
            </w:pPr>
            <w:r/>
            <w:r>
              <w:rPr>
                <w:rFonts w:ascii="Aptos" w:hAnsi="Aptos"/>
                <w:b w:val="0"/>
                <w:sz w:val="16"/>
              </w:rPr>
              <w:t>10</w:t>
            </w:r>
          </w:p>
        </w:tc>
        <w:tc>
          <w:tcPr>
            <w:tcW w:type="dxa" w:w="5112"/>
            <w:vAlign w:val="center"/>
          </w:tcPr>
          <w:p>
            <w:pPr>
              <w:spacing w:after="0"/>
            </w:pPr>
            <w:r/>
            <w:r>
              <w:rPr>
                <w:rFonts w:ascii="Aptos" w:hAnsi="Aptos"/>
                <w:b w:val="0"/>
                <w:sz w:val="16"/>
              </w:rPr>
              <w:t>Known temporary previews/harnesses still present</w:t>
            </w:r>
          </w:p>
        </w:tc>
        <w:tc>
          <w:tcPr>
            <w:tcW w:type="dxa" w:w="4536"/>
            <w:vAlign w:val="center"/>
          </w:tcPr>
          <w:p>
            <w:pPr>
              <w:spacing w:after="0"/>
            </w:pPr>
            <w:r/>
            <w:r>
              <w:rPr>
                <w:rFonts w:ascii="Aptos" w:hAnsi="Aptos"/>
                <w:b w:val="0"/>
                <w:sz w:val="16"/>
              </w:rPr>
              <w:t>Classify KEEP / PRODUCTIZE / RETIRE / DEFER.</w:t>
            </w:r>
          </w:p>
        </w:tc>
      </w:tr>
    </w:tbl>
    <w:p>
      <w:pPr>
        <w:pStyle w:val="Heading1"/>
      </w:pPr>
      <w:r>
        <w:t>9. Inventory classification used in the new chat</w:t>
      </w:r>
    </w:p>
    <w:tbl>
      <w:tblPr>
        <w:tblStyle w:val="TableGrid"/>
        <w:tblW w:type="auto" w:w="0"/>
        <w:jc w:val="center"/>
        <w:tblLook w:firstColumn="1" w:firstRow="1" w:lastColumn="0" w:lastRow="0" w:noHBand="0" w:noVBand="1" w:val="04A0"/>
      </w:tblPr>
      <w:tblGrid>
        <w:gridCol w:w="5184"/>
        <w:gridCol w:w="5184"/>
      </w:tblGrid>
      <w:tr>
        <w:trPr>
          <w:cantSplit/>
        </w:trPr>
        <w:tc>
          <w:tcPr>
            <w:tcW w:type="dxa" w:w="2376"/>
            <w:vAlign w:val="center"/>
            <w:shd w:fill="D9E2F3"/>
          </w:tcPr>
          <w:p>
            <w:pPr>
              <w:spacing w:after="0"/>
            </w:pPr>
            <w:r/>
            <w:r>
              <w:rPr>
                <w:rFonts w:ascii="Aptos" w:hAnsi="Aptos"/>
                <w:b/>
                <w:sz w:val="16"/>
              </w:rPr>
              <w:t>Classification</w:t>
            </w:r>
          </w:p>
        </w:tc>
        <w:tc>
          <w:tcPr>
            <w:tcW w:type="dxa" w:w="8208"/>
            <w:vAlign w:val="center"/>
            <w:shd w:fill="D9E2F3"/>
          </w:tcPr>
          <w:p>
            <w:pPr>
              <w:spacing w:after="0"/>
            </w:pPr>
            <w:r/>
            <w:r>
              <w:rPr>
                <w:rFonts w:ascii="Aptos" w:hAnsi="Aptos"/>
                <w:b/>
                <w:sz w:val="16"/>
              </w:rPr>
              <w:t>Meaning</w:t>
            </w:r>
          </w:p>
        </w:tc>
      </w:tr>
      <w:tr>
        <w:trPr>
          <w:cantSplit/>
        </w:trPr>
        <w:tc>
          <w:tcPr>
            <w:tcW w:type="dxa" w:w="2376"/>
            <w:vAlign w:val="center"/>
          </w:tcPr>
          <w:p>
            <w:pPr>
              <w:spacing w:after="0"/>
            </w:pPr>
            <w:r/>
            <w:r>
              <w:rPr>
                <w:rFonts w:ascii="Aptos" w:hAnsi="Aptos"/>
                <w:b w:val="0"/>
                <w:sz w:val="16"/>
              </w:rPr>
              <w:t>KEEP</w:t>
            </w:r>
          </w:p>
        </w:tc>
        <w:tc>
          <w:tcPr>
            <w:tcW w:type="dxa" w:w="8208"/>
            <w:vAlign w:val="center"/>
          </w:tcPr>
          <w:p>
            <w:pPr>
              <w:spacing w:after="0"/>
            </w:pPr>
            <w:r/>
            <w:r>
              <w:rPr>
                <w:rFonts w:ascii="Aptos" w:hAnsi="Aptos"/>
                <w:b w:val="0"/>
                <w:sz w:val="16"/>
              </w:rPr>
              <w:t>Already product-ready and correctly owned.</w:t>
            </w:r>
          </w:p>
        </w:tc>
      </w:tr>
      <w:tr>
        <w:trPr>
          <w:cantSplit/>
        </w:trPr>
        <w:tc>
          <w:tcPr>
            <w:tcW w:type="dxa" w:w="2376"/>
            <w:vAlign w:val="center"/>
          </w:tcPr>
          <w:p>
            <w:pPr>
              <w:spacing w:after="0"/>
            </w:pPr>
            <w:r/>
            <w:r>
              <w:rPr>
                <w:rFonts w:ascii="Aptos" w:hAnsi="Aptos"/>
                <w:b w:val="0"/>
                <w:sz w:val="16"/>
              </w:rPr>
              <w:t>PRODUCTIZE</w:t>
            </w:r>
          </w:p>
        </w:tc>
        <w:tc>
          <w:tcPr>
            <w:tcW w:type="dxa" w:w="8208"/>
            <w:vAlign w:val="center"/>
          </w:tcPr>
          <w:p>
            <w:pPr>
              <w:spacing w:after="0"/>
            </w:pPr>
            <w:r/>
            <w:r>
              <w:rPr>
                <w:rFonts w:ascii="Aptos" w:hAnsi="Aptos"/>
                <w:b w:val="0"/>
                <w:sz w:val="16"/>
              </w:rPr>
              <w:t>Validated behavior exists but is still in preview/harness/test or wrong package boundary.</w:t>
            </w:r>
          </w:p>
        </w:tc>
      </w:tr>
      <w:tr>
        <w:trPr>
          <w:cantSplit/>
        </w:trPr>
        <w:tc>
          <w:tcPr>
            <w:tcW w:type="dxa" w:w="2376"/>
            <w:vAlign w:val="center"/>
          </w:tcPr>
          <w:p>
            <w:pPr>
              <w:spacing w:after="0"/>
            </w:pPr>
            <w:r/>
            <w:r>
              <w:rPr>
                <w:rFonts w:ascii="Aptos" w:hAnsi="Aptos"/>
                <w:b w:val="0"/>
                <w:sz w:val="16"/>
              </w:rPr>
              <w:t>RETIRE</w:t>
            </w:r>
          </w:p>
        </w:tc>
        <w:tc>
          <w:tcPr>
            <w:tcW w:type="dxa" w:w="8208"/>
            <w:vAlign w:val="center"/>
          </w:tcPr>
          <w:p>
            <w:pPr>
              <w:spacing w:after="0"/>
            </w:pPr>
            <w:r/>
            <w:r>
              <w:rPr>
                <w:rFonts w:ascii="Aptos" w:hAnsi="Aptos"/>
                <w:b w:val="0"/>
                <w:sz w:val="16"/>
              </w:rPr>
              <w:t>Temporary campaign/preview artifact that has served its purpose.</w:t>
            </w:r>
          </w:p>
        </w:tc>
      </w:tr>
      <w:tr>
        <w:trPr>
          <w:cantSplit/>
        </w:trPr>
        <w:tc>
          <w:tcPr>
            <w:tcW w:type="dxa" w:w="2376"/>
            <w:vAlign w:val="center"/>
          </w:tcPr>
          <w:p>
            <w:pPr>
              <w:spacing w:after="0"/>
            </w:pPr>
            <w:r/>
            <w:r>
              <w:rPr>
                <w:rFonts w:ascii="Aptos" w:hAnsi="Aptos"/>
                <w:b w:val="0"/>
                <w:sz w:val="16"/>
              </w:rPr>
              <w:t>DEFER</w:t>
            </w:r>
          </w:p>
        </w:tc>
        <w:tc>
          <w:tcPr>
            <w:tcW w:type="dxa" w:w="8208"/>
            <w:vAlign w:val="center"/>
          </w:tcPr>
          <w:p>
            <w:pPr>
              <w:spacing w:after="0"/>
            </w:pPr>
            <w:r/>
            <w:r>
              <w:rPr>
                <w:rFonts w:ascii="Aptos" w:hAnsi="Aptos"/>
                <w:b w:val="0"/>
                <w:sz w:val="16"/>
              </w:rPr>
              <w:t>Valid future work not needed for the current operational path.</w:t>
            </w:r>
          </w:p>
        </w:tc>
      </w:tr>
      <w:tr>
        <w:trPr>
          <w:cantSplit/>
        </w:trPr>
        <w:tc>
          <w:tcPr>
            <w:tcW w:type="dxa" w:w="2376"/>
            <w:vAlign w:val="center"/>
          </w:tcPr>
          <w:p>
            <w:pPr>
              <w:spacing w:after="0"/>
            </w:pPr>
            <w:r/>
            <w:r>
              <w:rPr>
                <w:rFonts w:ascii="Aptos" w:hAnsi="Aptos"/>
                <w:b w:val="0"/>
                <w:sz w:val="16"/>
              </w:rPr>
              <w:t>REWORK</w:t>
            </w:r>
          </w:p>
        </w:tc>
        <w:tc>
          <w:tcPr>
            <w:tcW w:type="dxa" w:w="8208"/>
            <w:vAlign w:val="center"/>
          </w:tcPr>
          <w:p>
            <w:pPr>
              <w:spacing w:after="0"/>
            </w:pPr>
            <w:r/>
            <w:r>
              <w:rPr>
                <w:rFonts w:ascii="Aptos" w:hAnsi="Aptos"/>
                <w:b w:val="0"/>
                <w:sz w:val="16"/>
              </w:rPr>
              <w:t>Current implementation conflicts with the agreed canonical contract or responsibility.</w:t>
            </w:r>
          </w:p>
        </w:tc>
      </w:tr>
    </w:tbl>
    <w:p>
      <w:pPr>
        <w:pStyle w:val="Heading1"/>
      </w:pPr>
      <w:r>
        <w:t>10. First-pass procedure in the new chat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792"/>
            <w:vAlign w:val="center"/>
            <w:shd w:fill="D9E2F3"/>
          </w:tcPr>
          <w:p>
            <w:pPr>
              <w:spacing w:after="0"/>
            </w:pPr>
            <w:r/>
            <w:r>
              <w:rPr>
                <w:rFonts w:ascii="Aptos" w:hAnsi="Aptos"/>
                <w:b/>
                <w:sz w:val="16"/>
              </w:rPr>
              <w:t>Step</w:t>
            </w:r>
          </w:p>
        </w:tc>
        <w:tc>
          <w:tcPr>
            <w:tcW w:type="dxa" w:w="5904"/>
            <w:vAlign w:val="center"/>
            <w:shd w:fill="D9E2F3"/>
          </w:tcPr>
          <w:p>
            <w:pPr>
              <w:spacing w:after="0"/>
            </w:pPr>
            <w:r/>
            <w:r>
              <w:rPr>
                <w:rFonts w:ascii="Aptos" w:hAnsi="Aptos"/>
                <w:b/>
                <w:sz w:val="16"/>
              </w:rPr>
              <w:t>Action</w:t>
            </w:r>
          </w:p>
        </w:tc>
        <w:tc>
          <w:tcPr>
            <w:tcW w:type="dxa" w:w="3744"/>
            <w:vAlign w:val="center"/>
            <w:shd w:fill="D9E2F3"/>
          </w:tcPr>
          <w:p>
            <w:pPr>
              <w:spacing w:after="0"/>
            </w:pPr>
            <w:r/>
            <w:r>
              <w:rPr>
                <w:rFonts w:ascii="Aptos" w:hAnsi="Aptos"/>
                <w:b/>
                <w:sz w:val="16"/>
              </w:rPr>
              <w:t>Deliverable</w:t>
            </w:r>
          </w:p>
        </w:tc>
      </w:tr>
      <w:tr>
        <w:trPr>
          <w:cantSplit/>
        </w:trPr>
        <w:tc>
          <w:tcPr>
            <w:tcW w:type="dxa" w:w="792"/>
            <w:vAlign w:val="center"/>
          </w:tcPr>
          <w:p>
            <w:pPr>
              <w:spacing w:after="0"/>
            </w:pPr>
            <w:r/>
            <w:r>
              <w:rPr>
                <w:rFonts w:ascii="Aptos" w:hAnsi="Aptos"/>
                <w:b w:val="0"/>
                <w:sz w:val="16"/>
              </w:rPr>
              <w:t>0</w:t>
            </w:r>
          </w:p>
        </w:tc>
        <w:tc>
          <w:tcPr>
            <w:tcW w:type="dxa" w:w="5904"/>
            <w:vAlign w:val="center"/>
          </w:tcPr>
          <w:p>
            <w:pPr>
              <w:spacing w:after="0"/>
            </w:pPr>
            <w:r/>
            <w:r>
              <w:rPr>
                <w:rFonts w:ascii="Aptos" w:hAnsi="Aptos"/>
                <w:b w:val="0"/>
                <w:sz w:val="16"/>
              </w:rPr>
              <w:t>Ingest files; do not modify anything.</w:t>
            </w:r>
          </w:p>
        </w:tc>
        <w:tc>
          <w:tcPr>
            <w:tcW w:type="dxa" w:w="3744"/>
            <w:vAlign w:val="center"/>
          </w:tcPr>
          <w:p>
            <w:pPr>
              <w:spacing w:after="0"/>
            </w:pPr>
            <w:r/>
            <w:r>
              <w:rPr>
                <w:rFonts w:ascii="Aptos" w:hAnsi="Aptos"/>
                <w:b w:val="0"/>
                <w:sz w:val="16"/>
              </w:rPr>
              <w:t>Authoritative repository/package inventory.</w:t>
            </w:r>
          </w:p>
        </w:tc>
      </w:tr>
      <w:tr>
        <w:trPr>
          <w:cantSplit/>
        </w:trPr>
        <w:tc>
          <w:tcPr>
            <w:tcW w:type="dxa" w:w="792"/>
            <w:vAlign w:val="center"/>
          </w:tcPr>
          <w:p>
            <w:pPr>
              <w:spacing w:after="0"/>
            </w:pPr>
            <w:r/>
            <w:r>
              <w:rPr>
                <w:rFonts w:ascii="Aptos" w:hAnsi="Aptos"/>
                <w:b w:val="0"/>
                <w:sz w:val="16"/>
              </w:rPr>
              <w:t>1</w:t>
            </w:r>
          </w:p>
        </w:tc>
        <w:tc>
          <w:tcPr>
            <w:tcW w:type="dxa" w:w="5904"/>
            <w:vAlign w:val="center"/>
          </w:tcPr>
          <w:p>
            <w:pPr>
              <w:spacing w:after="0"/>
            </w:pPr>
            <w:r/>
            <w:r>
              <w:rPr>
                <w:rFonts w:ascii="Aptos" w:hAnsi="Aptos"/>
                <w:b w:val="0"/>
                <w:sz w:val="16"/>
              </w:rPr>
              <w:t>Map contracts consumed by final Atlanticus and Alarm Process.</w:t>
            </w:r>
          </w:p>
        </w:tc>
        <w:tc>
          <w:tcPr>
            <w:tcW w:type="dxa" w:w="3744"/>
            <w:vAlign w:val="center"/>
          </w:tcPr>
          <w:p>
            <w:pPr>
              <w:spacing w:after="0"/>
            </w:pPr>
            <w:r/>
            <w:r>
              <w:rPr>
                <w:rFonts w:ascii="Aptos" w:hAnsi="Aptos"/>
                <w:b w:val="0"/>
                <w:sz w:val="16"/>
              </w:rPr>
              <w:t>Contract ownership / dependency map.</w:t>
            </w:r>
          </w:p>
        </w:tc>
      </w:tr>
      <w:tr>
        <w:trPr>
          <w:cantSplit/>
        </w:trPr>
        <w:tc>
          <w:tcPr>
            <w:tcW w:type="dxa" w:w="792"/>
            <w:vAlign w:val="center"/>
          </w:tcPr>
          <w:p>
            <w:pPr>
              <w:spacing w:after="0"/>
            </w:pPr>
            <w:r/>
            <w:r>
              <w:rPr>
                <w:rFonts w:ascii="Aptos" w:hAnsi="Aptos"/>
                <w:b w:val="0"/>
                <w:sz w:val="16"/>
              </w:rPr>
              <w:t>2</w:t>
            </w:r>
          </w:p>
        </w:tc>
        <w:tc>
          <w:tcPr>
            <w:tcW w:type="dxa" w:w="5904"/>
            <w:vAlign w:val="center"/>
          </w:tcPr>
          <w:p>
            <w:pPr>
              <w:spacing w:after="0"/>
            </w:pPr>
            <w:r/>
            <w:r>
              <w:rPr>
                <w:rFonts w:ascii="Aptos" w:hAnsi="Aptos"/>
                <w:b w:val="0"/>
                <w:sz w:val="16"/>
              </w:rPr>
              <w:t>Diff current Runtime against frozen validated behavior.</w:t>
            </w:r>
          </w:p>
        </w:tc>
        <w:tc>
          <w:tcPr>
            <w:tcW w:type="dxa" w:w="3744"/>
            <w:vAlign w:val="center"/>
          </w:tcPr>
          <w:p>
            <w:pPr>
              <w:spacing w:after="0"/>
            </w:pPr>
            <w:r/>
            <w:r>
              <w:rPr>
                <w:rFonts w:ascii="Aptos" w:hAnsi="Aptos"/>
                <w:b w:val="0"/>
                <w:sz w:val="16"/>
              </w:rPr>
              <w:t>Runtime validation matrix + gaps.</w:t>
            </w:r>
          </w:p>
        </w:tc>
      </w:tr>
      <w:tr>
        <w:trPr>
          <w:cantSplit/>
        </w:trPr>
        <w:tc>
          <w:tcPr>
            <w:tcW w:type="dxa" w:w="792"/>
            <w:vAlign w:val="center"/>
          </w:tcPr>
          <w:p>
            <w:pPr>
              <w:spacing w:after="0"/>
            </w:pPr>
            <w:r/>
            <w:r>
              <w:rPr>
                <w:rFonts w:ascii="Aptos" w:hAnsi="Aptos"/>
                <w:b w:val="0"/>
                <w:sz w:val="16"/>
              </w:rPr>
              <w:t>3</w:t>
            </w:r>
          </w:p>
        </w:tc>
        <w:tc>
          <w:tcPr>
            <w:tcW w:type="dxa" w:w="5904"/>
            <w:vAlign w:val="center"/>
          </w:tcPr>
          <w:p>
            <w:pPr>
              <w:spacing w:after="0"/>
            </w:pPr>
            <w:r/>
            <w:r>
              <w:rPr>
                <w:rFonts w:ascii="Aptos" w:hAnsi="Aptos"/>
                <w:b w:val="0"/>
                <w:sz w:val="16"/>
              </w:rPr>
              <w:t>Validate Process composition against current Runtime.</w:t>
            </w:r>
          </w:p>
        </w:tc>
        <w:tc>
          <w:tcPr>
            <w:tcW w:type="dxa" w:w="3744"/>
            <w:vAlign w:val="center"/>
          </w:tcPr>
          <w:p>
            <w:pPr>
              <w:spacing w:after="0"/>
            </w:pPr>
            <w:r/>
            <w:r>
              <w:rPr>
                <w:rFonts w:ascii="Aptos" w:hAnsi="Aptos"/>
                <w:b w:val="0"/>
                <w:sz w:val="16"/>
              </w:rPr>
              <w:t>Process validation matrix + gaps.</w:t>
            </w:r>
          </w:p>
        </w:tc>
      </w:tr>
      <w:tr>
        <w:trPr>
          <w:cantSplit/>
        </w:trPr>
        <w:tc>
          <w:tcPr>
            <w:tcW w:type="dxa" w:w="792"/>
            <w:vAlign w:val="center"/>
          </w:tcPr>
          <w:p>
            <w:pPr>
              <w:spacing w:after="0"/>
            </w:pPr>
            <w:r/>
            <w:r>
              <w:rPr>
                <w:rFonts w:ascii="Aptos" w:hAnsi="Aptos"/>
                <w:b w:val="0"/>
                <w:sz w:val="16"/>
              </w:rPr>
              <w:t>4</w:t>
            </w:r>
          </w:p>
        </w:tc>
        <w:tc>
          <w:tcPr>
            <w:tcW w:type="dxa" w:w="5904"/>
            <w:vAlign w:val="center"/>
          </w:tcPr>
          <w:p>
            <w:pPr>
              <w:spacing w:after="0"/>
            </w:pPr>
            <w:r/>
            <w:r>
              <w:rPr>
                <w:rFonts w:ascii="Aptos" w:hAnsi="Aptos"/>
                <w:b w:val="0"/>
                <w:sz w:val="16"/>
              </w:rPr>
              <w:t>Classify old/new modules KEEP/PRODUCTIZE/RETIRE/DEFER/REWORK.</w:t>
            </w:r>
          </w:p>
        </w:tc>
        <w:tc>
          <w:tcPr>
            <w:tcW w:type="dxa" w:w="3744"/>
            <w:vAlign w:val="center"/>
          </w:tcPr>
          <w:p>
            <w:pPr>
              <w:spacing w:after="0"/>
            </w:pPr>
            <w:r/>
            <w:r>
              <w:rPr>
                <w:rFonts w:ascii="Aptos" w:hAnsi="Aptos"/>
                <w:b w:val="0"/>
                <w:sz w:val="16"/>
              </w:rPr>
              <w:t>Cleanup plan.</w:t>
            </w:r>
          </w:p>
        </w:tc>
      </w:tr>
      <w:tr>
        <w:trPr>
          <w:cantSplit/>
        </w:trPr>
        <w:tc>
          <w:tcPr>
            <w:tcW w:type="dxa" w:w="792"/>
            <w:vAlign w:val="center"/>
          </w:tcPr>
          <w:p>
            <w:pPr>
              <w:spacing w:after="0"/>
            </w:pPr>
            <w:r/>
            <w:r>
              <w:rPr>
                <w:rFonts w:ascii="Aptos" w:hAnsi="Aptos"/>
                <w:b w:val="0"/>
                <w:sz w:val="16"/>
              </w:rPr>
              <w:t>5</w:t>
            </w:r>
          </w:p>
        </w:tc>
        <w:tc>
          <w:tcPr>
            <w:tcW w:type="dxa" w:w="5904"/>
            <w:vAlign w:val="center"/>
          </w:tcPr>
          <w:p>
            <w:pPr>
              <w:spacing w:after="0"/>
            </w:pPr>
            <w:r/>
            <w:r>
              <w:rPr>
                <w:rFonts w:ascii="Aptos" w:hAnsi="Aptos"/>
                <w:b w:val="0"/>
                <w:sz w:val="16"/>
              </w:rPr>
              <w:t>Apply smallest cleanup/integration increment.</w:t>
            </w:r>
          </w:p>
        </w:tc>
        <w:tc>
          <w:tcPr>
            <w:tcW w:type="dxa" w:w="3744"/>
            <w:vAlign w:val="center"/>
          </w:tcPr>
          <w:p>
            <w:pPr>
              <w:spacing w:after="0"/>
            </w:pPr>
            <w:r/>
            <w:r>
              <w:rPr>
                <w:rFonts w:ascii="Aptos" w:hAnsi="Aptos"/>
                <w:b w:val="0"/>
                <w:sz w:val="16"/>
              </w:rPr>
              <w:t>Changed files + tests + commented mirror only.</w:t>
            </w:r>
          </w:p>
        </w:tc>
      </w:tr>
      <w:tr>
        <w:trPr>
          <w:cantSplit/>
        </w:trPr>
        <w:tc>
          <w:tcPr>
            <w:tcW w:type="dxa" w:w="792"/>
            <w:vAlign w:val="center"/>
          </w:tcPr>
          <w:p>
            <w:pPr>
              <w:spacing w:after="0"/>
            </w:pPr>
            <w:r/>
            <w:r>
              <w:rPr>
                <w:rFonts w:ascii="Aptos" w:hAnsi="Aptos"/>
                <w:b w:val="0"/>
                <w:sz w:val="16"/>
              </w:rPr>
              <w:t>6</w:t>
            </w:r>
          </w:p>
        </w:tc>
        <w:tc>
          <w:tcPr>
            <w:tcW w:type="dxa" w:w="5904"/>
            <w:vAlign w:val="center"/>
          </w:tcPr>
          <w:p>
            <w:pPr>
              <w:spacing w:after="0"/>
            </w:pPr>
            <w:r/>
            <w:r>
              <w:rPr>
                <w:rFonts w:ascii="Aptos" w:hAnsi="Aptos"/>
                <w:b w:val="0"/>
                <w:sz w:val="16"/>
              </w:rPr>
              <w:t>Run focused gate.</w:t>
            </w:r>
          </w:p>
        </w:tc>
        <w:tc>
          <w:tcPr>
            <w:tcW w:type="dxa" w:w="3744"/>
            <w:vAlign w:val="center"/>
          </w:tcPr>
          <w:p>
            <w:pPr>
              <w:spacing w:after="0"/>
            </w:pPr>
            <w:r/>
            <w:r>
              <w:rPr>
                <w:rFonts w:ascii="Aptos" w:hAnsi="Aptos"/>
                <w:b w:val="0"/>
                <w:sz w:val="16"/>
              </w:rPr>
              <w:t>Green baseline before adding missing capabilities.</w:t>
            </w:r>
          </w:p>
        </w:tc>
      </w:tr>
      <w:tr>
        <w:trPr>
          <w:cantSplit/>
        </w:trPr>
        <w:tc>
          <w:tcPr>
            <w:tcW w:type="dxa" w:w="792"/>
            <w:vAlign w:val="center"/>
          </w:tcPr>
          <w:p>
            <w:pPr>
              <w:spacing w:after="0"/>
            </w:pPr>
            <w:r/>
            <w:r>
              <w:rPr>
                <w:rFonts w:ascii="Aptos" w:hAnsi="Aptos"/>
                <w:b w:val="0"/>
                <w:sz w:val="16"/>
              </w:rPr>
              <w:t>7</w:t>
            </w:r>
          </w:p>
        </w:tc>
        <w:tc>
          <w:tcPr>
            <w:tcW w:type="dxa" w:w="5904"/>
            <w:vAlign w:val="center"/>
          </w:tcPr>
          <w:p>
            <w:pPr>
              <w:spacing w:after="0"/>
            </w:pPr>
            <w:r/>
            <w:r>
              <w:rPr>
                <w:rFonts w:ascii="Aptos" w:hAnsi="Aptos"/>
                <w:b w:val="0"/>
                <w:sz w:val="16"/>
              </w:rPr>
              <w:t>Start Alarm Configuration or next highest missing operational capability.</w:t>
            </w:r>
          </w:p>
        </w:tc>
        <w:tc>
          <w:tcPr>
            <w:tcW w:type="dxa" w:w="3744"/>
            <w:vAlign w:val="center"/>
          </w:tcPr>
          <w:p>
            <w:pPr>
              <w:spacing w:after="0"/>
            </w:pPr>
            <w:r/>
            <w:r>
              <w:rPr>
                <w:rFonts w:ascii="Aptos" w:hAnsi="Aptos"/>
                <w:b w:val="0"/>
                <w:sz w:val="16"/>
              </w:rPr>
              <w:t>Next agreed contract.</w:t>
            </w:r>
          </w:p>
        </w:tc>
      </w:tr>
    </w:tbl>
    <w:p>
      <w:pPr>
        <w:pStyle w:val="Heading1"/>
      </w:pPr>
      <w:r>
        <w:t>11. Validation gates before joining both pieces</w:t>
      </w:r>
    </w:p>
    <w:p>
      <w:pPr>
        <w:pStyle w:val="ListBullet"/>
        <w:spacing w:after="40"/>
      </w:pPr>
      <w:r>
        <w:t>Runtime public contract is explicit and covered by focused tests.</w:t>
      </w:r>
    </w:p>
    <w:p>
      <w:pPr>
        <w:pStyle w:val="ListBullet"/>
        <w:spacing w:after="40"/>
      </w:pPr>
      <w:r>
        <w:t>Process composes Runtime/Core/Persistence; it does not silently duplicate their behavior.</w:t>
      </w:r>
    </w:p>
    <w:p>
      <w:pPr>
        <w:pStyle w:val="ListBullet"/>
        <w:spacing w:after="40"/>
      </w:pPr>
      <w:r>
        <w:t>Durable state semantics remain identical to the R3.5-qualified contract.</w:t>
      </w:r>
    </w:p>
    <w:p>
      <w:pPr>
        <w:pStyle w:val="ListBullet"/>
        <w:spacing w:after="40"/>
      </w:pPr>
      <w:r>
        <w:t>Natural drain/recovery behavior remains covered.</w:t>
      </w:r>
    </w:p>
    <w:p>
      <w:pPr>
        <w:pStyle w:val="ListBullet"/>
        <w:spacing w:after="40"/>
      </w:pPr>
      <w:r>
        <w:t>ManagementAction and Decision inputs preserve their already-validated causal identity/receipt semantics.</w:t>
      </w:r>
    </w:p>
    <w:p>
      <w:pPr>
        <w:pStyle w:val="ListBullet"/>
        <w:spacing w:after="40"/>
      </w:pPr>
      <w:r>
        <w:t>Configuration arrives through a canonical validated Alarm Definition contract.</w:t>
      </w:r>
    </w:p>
    <w:p>
      <w:pPr>
        <w:pStyle w:val="ListBullet"/>
        <w:spacing w:after="40"/>
      </w:pPr>
      <w:r>
        <w:t>Data Sources arrive through declared provider/delivery contracts, not direct ad-hoc reads.</w:t>
      </w:r>
    </w:p>
    <w:p>
      <w:pPr>
        <w:pStyle w:val="ListBullet"/>
        <w:spacing w:after="40"/>
      </w:pPr>
      <w:r>
        <w:t>No temporary performance harness is imported by productive runtime/process code.</w:t>
      </w:r>
    </w:p>
    <w:p>
      <w:pPr>
        <w:pStyle w:val="ListBullet"/>
        <w:spacing w:after="40"/>
      </w:pPr>
      <w:r>
        <w:t>No secret or infrastructure-specific assumption is introduced into generic Atlanticus modules.</w:t>
      </w:r>
    </w:p>
    <w:p>
      <w:pPr>
        <w:pStyle w:val="ListBullet"/>
        <w:spacing w:after="40"/>
      </w:pPr>
      <w:r>
        <w:t>Productive/commented mirror requirement remains satisfied for agreed changed code.</w:t>
      </w:r>
    </w:p>
    <w:p>
      <w:pPr>
        <w:pStyle w:val="Heading1"/>
      </w:pPr>
      <w:r>
        <w:t>12. Repository cleanup rules</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2F3"/>
          </w:tcPr>
          <w:p>
            <w:pPr>
              <w:spacing w:after="0"/>
            </w:pPr>
            <w:r/>
            <w:r>
              <w:rPr>
                <w:rFonts w:ascii="Aptos" w:hAnsi="Aptos"/>
                <w:b/>
                <w:sz w:val="16"/>
              </w:rPr>
              <w:t>Rule</w:t>
            </w:r>
          </w:p>
        </w:tc>
        <w:tc>
          <w:tcPr>
            <w:tcW w:type="dxa" w:w="7416"/>
            <w:vAlign w:val="center"/>
            <w:shd w:fill="D9E2F3"/>
          </w:tcPr>
          <w:p>
            <w:pPr>
              <w:spacing w:after="0"/>
            </w:pPr>
            <w:r/>
            <w:r>
              <w:rPr>
                <w:rFonts w:ascii="Aptos" w:hAnsi="Aptos"/>
                <w:b/>
                <w:sz w:val="16"/>
              </w:rPr>
              <w:t>Decision</w:t>
            </w:r>
          </w:p>
        </w:tc>
      </w:tr>
      <w:tr>
        <w:trPr>
          <w:cantSplit/>
        </w:trPr>
        <w:tc>
          <w:tcPr>
            <w:tcW w:type="dxa" w:w="3168"/>
            <w:vAlign w:val="center"/>
          </w:tcPr>
          <w:p>
            <w:pPr>
              <w:spacing w:after="0"/>
            </w:pPr>
            <w:r/>
            <w:r>
              <w:rPr>
                <w:rFonts w:ascii="Aptos" w:hAnsi="Aptos"/>
                <w:b w:val="0"/>
                <w:sz w:val="16"/>
              </w:rPr>
              <w:t>Performance evidence</w:t>
            </w:r>
          </w:p>
        </w:tc>
        <w:tc>
          <w:tcPr>
            <w:tcW w:type="dxa" w:w="7416"/>
            <w:vAlign w:val="center"/>
          </w:tcPr>
          <w:p>
            <w:pPr>
              <w:spacing w:after="0"/>
            </w:pPr>
            <w:r/>
            <w:r>
              <w:rPr>
                <w:rFonts w:ascii="Aptos" w:hAnsi="Aptos"/>
                <w:b w:val="0"/>
                <w:sz w:val="16"/>
              </w:rPr>
              <w:t>Keep final evidence/checkpoints outside productive package paths where practical.</w:t>
            </w:r>
          </w:p>
        </w:tc>
      </w:tr>
      <w:tr>
        <w:trPr>
          <w:cantSplit/>
        </w:trPr>
        <w:tc>
          <w:tcPr>
            <w:tcW w:type="dxa" w:w="3168"/>
            <w:vAlign w:val="center"/>
          </w:tcPr>
          <w:p>
            <w:pPr>
              <w:spacing w:after="0"/>
            </w:pPr>
            <w:r/>
            <w:r>
              <w:rPr>
                <w:rFonts w:ascii="Aptos" w:hAnsi="Aptos"/>
                <w:b w:val="0"/>
                <w:sz w:val="16"/>
              </w:rPr>
              <w:t>R3.5 harnesses</w:t>
            </w:r>
          </w:p>
        </w:tc>
        <w:tc>
          <w:tcPr>
            <w:tcW w:type="dxa" w:w="7416"/>
            <w:vAlign w:val="center"/>
          </w:tcPr>
          <w:p>
            <w:pPr>
              <w:spacing w:after="0"/>
            </w:pPr>
            <w:r/>
            <w:r>
              <w:rPr>
                <w:rFonts w:ascii="Aptos" w:hAnsi="Aptos"/>
                <w:b w:val="0"/>
                <w:sz w:val="16"/>
              </w:rPr>
              <w:t>Retire after extracting any genuinely reusable generic helper; do not productize test-only mechanics.</w:t>
            </w:r>
          </w:p>
        </w:tc>
      </w:tr>
      <w:tr>
        <w:trPr>
          <w:cantSplit/>
        </w:trPr>
        <w:tc>
          <w:tcPr>
            <w:tcW w:type="dxa" w:w="3168"/>
            <w:vAlign w:val="center"/>
          </w:tcPr>
          <w:p>
            <w:pPr>
              <w:spacing w:after="0"/>
            </w:pPr>
            <w:r/>
            <w:r>
              <w:rPr>
                <w:rFonts w:ascii="Aptos" w:hAnsi="Aptos"/>
                <w:b w:val="0"/>
                <w:sz w:val="16"/>
              </w:rPr>
              <w:t>F-007 physical bank tooling</w:t>
            </w:r>
          </w:p>
        </w:tc>
        <w:tc>
          <w:tcPr>
            <w:tcW w:type="dxa" w:w="7416"/>
            <w:vAlign w:val="center"/>
          </w:tcPr>
          <w:p>
            <w:pPr>
              <w:spacing w:after="0"/>
            </w:pPr>
            <w:r/>
            <w:r>
              <w:rPr>
                <w:rFonts w:ascii="Aptos" w:hAnsi="Aptos"/>
                <w:b w:val="0"/>
                <w:sz w:val="16"/>
              </w:rPr>
              <w:t>Keep only if still needed as a controlled local test fixture; never make it a production data-source requirement.</w:t>
            </w:r>
          </w:p>
        </w:tc>
      </w:tr>
      <w:tr>
        <w:trPr>
          <w:cantSplit/>
        </w:trPr>
        <w:tc>
          <w:tcPr>
            <w:tcW w:type="dxa" w:w="3168"/>
            <w:vAlign w:val="center"/>
          </w:tcPr>
          <w:p>
            <w:pPr>
              <w:spacing w:after="0"/>
            </w:pPr>
            <w:r/>
            <w:r>
              <w:rPr>
                <w:rFonts w:ascii="Aptos" w:hAnsi="Aptos"/>
                <w:b w:val="0"/>
                <w:sz w:val="16"/>
              </w:rPr>
              <w:t>Preview modules</w:t>
            </w:r>
          </w:p>
        </w:tc>
        <w:tc>
          <w:tcPr>
            <w:tcW w:type="dxa" w:w="7416"/>
            <w:vAlign w:val="center"/>
          </w:tcPr>
          <w:p>
            <w:pPr>
              <w:spacing w:after="0"/>
            </w:pPr>
            <w:r/>
            <w:r>
              <w:rPr>
                <w:rFonts w:ascii="Aptos" w:hAnsi="Aptos"/>
                <w:b w:val="0"/>
                <w:sz w:val="16"/>
              </w:rPr>
              <w:t>Retire once their validated behavior has a canonical product owner.</w:t>
            </w:r>
          </w:p>
        </w:tc>
      </w:tr>
      <w:tr>
        <w:trPr>
          <w:cantSplit/>
        </w:trPr>
        <w:tc>
          <w:tcPr>
            <w:tcW w:type="dxa" w:w="3168"/>
            <w:vAlign w:val="center"/>
          </w:tcPr>
          <w:p>
            <w:pPr>
              <w:spacing w:after="0"/>
            </w:pPr>
            <w:r/>
            <w:r>
              <w:rPr>
                <w:rFonts w:ascii="Aptos" w:hAnsi="Aptos"/>
                <w:b w:val="0"/>
                <w:sz w:val="16"/>
              </w:rPr>
              <w:t>Global clients/config</w:t>
            </w:r>
          </w:p>
        </w:tc>
        <w:tc>
          <w:tcPr>
            <w:tcW w:type="dxa" w:w="7416"/>
            <w:vAlign w:val="center"/>
          </w:tcPr>
          <w:p>
            <w:pPr>
              <w:spacing w:after="0"/>
            </w:pPr>
            <w:r/>
            <w:r>
              <w:rPr>
                <w:rFonts w:ascii="Aptos" w:hAnsi="Aptos"/>
                <w:b w:val="0"/>
                <w:sz w:val="16"/>
              </w:rPr>
              <w:t>Do not introduce; use explicit named composition.</w:t>
            </w:r>
          </w:p>
        </w:tc>
      </w:tr>
      <w:tr>
        <w:trPr>
          <w:cantSplit/>
        </w:trPr>
        <w:tc>
          <w:tcPr>
            <w:tcW w:type="dxa" w:w="3168"/>
            <w:vAlign w:val="center"/>
          </w:tcPr>
          <w:p>
            <w:pPr>
              <w:spacing w:after="0"/>
            </w:pPr>
            <w:r/>
            <w:r>
              <w:rPr>
                <w:rFonts w:ascii="Aptos" w:hAnsi="Aptos"/>
                <w:b w:val="0"/>
                <w:sz w:val="16"/>
              </w:rPr>
              <w:t>Dependencies</w:t>
            </w:r>
          </w:p>
        </w:tc>
        <w:tc>
          <w:tcPr>
            <w:tcW w:type="dxa" w:w="7416"/>
            <w:vAlign w:val="center"/>
          </w:tcPr>
          <w:p>
            <w:pPr>
              <w:spacing w:after="0"/>
            </w:pPr>
            <w:r/>
            <w:r>
              <w:rPr>
                <w:rFonts w:ascii="Aptos" w:hAnsi="Aptos"/>
                <w:b w:val="0"/>
                <w:sz w:val="16"/>
              </w:rPr>
              <w:t>No new dependency unless justified by an agreed capability.</w:t>
            </w:r>
          </w:p>
        </w:tc>
      </w:tr>
      <w:tr>
        <w:trPr>
          <w:cantSplit/>
        </w:trPr>
        <w:tc>
          <w:tcPr>
            <w:tcW w:type="dxa" w:w="3168"/>
            <w:vAlign w:val="center"/>
          </w:tcPr>
          <w:p>
            <w:pPr>
              <w:spacing w:after="0"/>
            </w:pPr>
            <w:r/>
            <w:r>
              <w:rPr>
                <w:rFonts w:ascii="Aptos" w:hAnsi="Aptos"/>
                <w:b w:val="0"/>
                <w:sz w:val="16"/>
              </w:rPr>
              <w:t>Comments</w:t>
            </w:r>
          </w:p>
        </w:tc>
        <w:tc>
          <w:tcPr>
            <w:tcW w:type="dxa" w:w="7416"/>
            <w:vAlign w:val="center"/>
          </w:tcPr>
          <w:p>
            <w:pPr>
              <w:spacing w:after="0"/>
            </w:pPr>
            <w:r/>
            <w:r>
              <w:rPr>
                <w:rFonts w:ascii="Aptos" w:hAnsi="Aptos"/>
                <w:b w:val="0"/>
                <w:sz w:val="16"/>
              </w:rPr>
              <w:t>Productive code clean; Spanish pedagogical mirror remains separate.</w:t>
            </w:r>
          </w:p>
        </w:tc>
      </w:tr>
      <w:tr>
        <w:trPr>
          <w:cantSplit/>
        </w:trPr>
        <w:tc>
          <w:tcPr>
            <w:tcW w:type="dxa" w:w="3168"/>
            <w:vAlign w:val="center"/>
          </w:tcPr>
          <w:p>
            <w:pPr>
              <w:spacing w:after="0"/>
            </w:pPr>
            <w:r/>
            <w:r>
              <w:rPr>
                <w:rFonts w:ascii="Aptos" w:hAnsi="Aptos"/>
                <w:b w:val="0"/>
                <w:sz w:val="16"/>
              </w:rPr>
              <w:t>Tests</w:t>
            </w:r>
          </w:p>
        </w:tc>
        <w:tc>
          <w:tcPr>
            <w:tcW w:type="dxa" w:w="7416"/>
            <w:vAlign w:val="center"/>
          </w:tcPr>
          <w:p>
            <w:pPr>
              <w:spacing w:after="0"/>
            </w:pPr>
            <w:r/>
            <w:r>
              <w:rPr>
                <w:rFonts w:ascii="Aptos" w:hAnsi="Aptos"/>
                <w:b w:val="0"/>
                <w:sz w:val="16"/>
              </w:rPr>
              <w:t>Focused unit/contract/integration tests replace campaign harness coverage where possible.</w:t>
            </w:r>
          </w:p>
        </w:tc>
      </w:tr>
    </w:tbl>
    <w:p>
      <w:pPr>
        <w:pStyle w:val="Heading1"/>
      </w:pPr>
      <w:r>
        <w:t>13. Alarm Configuration direction to freeze next</w:t>
      </w:r>
    </w:p>
    <w:p>
      <w:r>
        <w:t>After the clean Runtime/Process baseline is green, the highest-value product contract is the canonical Alarm Definition emitted by configuration resolution and consumed by Alarm Runtime.</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2F3"/>
          </w:tcPr>
          <w:p>
            <w:pPr>
              <w:spacing w:after="0"/>
            </w:pPr>
            <w:r/>
            <w:r>
              <w:rPr>
                <w:rFonts w:ascii="Aptos" w:hAnsi="Aptos"/>
                <w:b/>
                <w:sz w:val="16"/>
              </w:rPr>
              <w:t>Concern</w:t>
            </w:r>
          </w:p>
        </w:tc>
        <w:tc>
          <w:tcPr>
            <w:tcW w:type="dxa" w:w="7704"/>
            <w:vAlign w:val="center"/>
            <w:shd w:fill="D9E2F3"/>
          </w:tcPr>
          <w:p>
            <w:pPr>
              <w:spacing w:after="0"/>
            </w:pPr>
            <w:r/>
            <w:r>
              <w:rPr>
                <w:rFonts w:ascii="Aptos" w:hAnsi="Aptos"/>
                <w:b/>
                <w:sz w:val="16"/>
              </w:rPr>
              <w:t>Expected contract question</w:t>
            </w:r>
          </w:p>
        </w:tc>
      </w:tr>
      <w:tr>
        <w:trPr>
          <w:cantSplit/>
        </w:trPr>
        <w:tc>
          <w:tcPr>
            <w:tcW w:type="dxa" w:w="2880"/>
            <w:vAlign w:val="center"/>
          </w:tcPr>
          <w:p>
            <w:pPr>
              <w:spacing w:after="0"/>
            </w:pPr>
            <w:r/>
            <w:r>
              <w:rPr>
                <w:rFonts w:ascii="Aptos" w:hAnsi="Aptos"/>
                <w:b w:val="0"/>
                <w:sz w:val="16"/>
              </w:rPr>
              <w:t>Identity</w:t>
            </w:r>
          </w:p>
        </w:tc>
        <w:tc>
          <w:tcPr>
            <w:tcW w:type="dxa" w:w="7704"/>
            <w:vAlign w:val="center"/>
          </w:tcPr>
          <w:p>
            <w:pPr>
              <w:spacing w:after="0"/>
            </w:pPr>
            <w:r/>
            <w:r>
              <w:rPr>
                <w:rFonts w:ascii="Aptos" w:hAnsi="Aptos"/>
                <w:b w:val="0"/>
                <w:sz w:val="16"/>
              </w:rPr>
              <w:t>What uniquely identifies an alarm and its revision?</w:t>
            </w:r>
          </w:p>
        </w:tc>
      </w:tr>
      <w:tr>
        <w:trPr>
          <w:cantSplit/>
        </w:trPr>
        <w:tc>
          <w:tcPr>
            <w:tcW w:type="dxa" w:w="2880"/>
            <w:vAlign w:val="center"/>
          </w:tcPr>
          <w:p>
            <w:pPr>
              <w:spacing w:after="0"/>
            </w:pPr>
            <w:r/>
            <w:r>
              <w:rPr>
                <w:rFonts w:ascii="Aptos" w:hAnsi="Aptos"/>
                <w:b w:val="0"/>
                <w:sz w:val="16"/>
              </w:rPr>
              <w:t>Tool ownership</w:t>
            </w:r>
          </w:p>
        </w:tc>
        <w:tc>
          <w:tcPr>
            <w:tcW w:type="dxa" w:w="7704"/>
            <w:vAlign w:val="center"/>
          </w:tcPr>
          <w:p>
            <w:pPr>
              <w:spacing w:after="0"/>
            </w:pPr>
            <w:r/>
            <w:r>
              <w:rPr>
                <w:rFonts w:ascii="Aptos" w:hAnsi="Aptos"/>
                <w:b w:val="0"/>
                <w:sz w:val="16"/>
              </w:rPr>
              <w:t>Which Tool owns/declares the alarm?</w:t>
            </w:r>
          </w:p>
        </w:tc>
      </w:tr>
      <w:tr>
        <w:trPr>
          <w:cantSplit/>
        </w:trPr>
        <w:tc>
          <w:tcPr>
            <w:tcW w:type="dxa" w:w="2880"/>
            <w:vAlign w:val="center"/>
          </w:tcPr>
          <w:p>
            <w:pPr>
              <w:spacing w:after="0"/>
            </w:pPr>
            <w:r/>
            <w:r>
              <w:rPr>
                <w:rFonts w:ascii="Aptos" w:hAnsi="Aptos"/>
                <w:b w:val="0"/>
                <w:sz w:val="16"/>
              </w:rPr>
              <w:t>Priority group</w:t>
            </w:r>
          </w:p>
        </w:tc>
        <w:tc>
          <w:tcPr>
            <w:tcW w:type="dxa" w:w="7704"/>
            <w:vAlign w:val="center"/>
          </w:tcPr>
          <w:p>
            <w:pPr>
              <w:spacing w:after="0"/>
            </w:pPr>
            <w:r/>
            <w:r>
              <w:rPr>
                <w:rFonts w:ascii="Aptos" w:hAnsi="Aptos"/>
                <w:b w:val="0"/>
                <w:sz w:val="16"/>
              </w:rPr>
              <w:t>How is execution grouping represented?</w:t>
            </w:r>
          </w:p>
        </w:tc>
      </w:tr>
      <w:tr>
        <w:trPr>
          <w:cantSplit/>
        </w:trPr>
        <w:tc>
          <w:tcPr>
            <w:tcW w:type="dxa" w:w="2880"/>
            <w:vAlign w:val="center"/>
          </w:tcPr>
          <w:p>
            <w:pPr>
              <w:spacing w:after="0"/>
            </w:pPr>
            <w:r/>
            <w:r>
              <w:rPr>
                <w:rFonts w:ascii="Aptos" w:hAnsi="Aptos"/>
                <w:b w:val="0"/>
                <w:sz w:val="16"/>
              </w:rPr>
              <w:t>Sources</w:t>
            </w:r>
          </w:p>
        </w:tc>
        <w:tc>
          <w:tcPr>
            <w:tcW w:type="dxa" w:w="7704"/>
            <w:vAlign w:val="center"/>
          </w:tcPr>
          <w:p>
            <w:pPr>
              <w:spacing w:after="0"/>
            </w:pPr>
            <w:r/>
            <w:r>
              <w:rPr>
                <w:rFonts w:ascii="Aptos" w:hAnsi="Aptos"/>
                <w:b w:val="0"/>
                <w:sz w:val="16"/>
              </w:rPr>
              <w:t>Which declared source requirements are consumed?</w:t>
            </w:r>
          </w:p>
        </w:tc>
      </w:tr>
      <w:tr>
        <w:trPr>
          <w:cantSplit/>
        </w:trPr>
        <w:tc>
          <w:tcPr>
            <w:tcW w:type="dxa" w:w="2880"/>
            <w:vAlign w:val="center"/>
          </w:tcPr>
          <w:p>
            <w:pPr>
              <w:spacing w:after="0"/>
            </w:pPr>
            <w:r/>
            <w:r>
              <w:rPr>
                <w:rFonts w:ascii="Aptos" w:hAnsi="Aptos"/>
                <w:b w:val="0"/>
                <w:sz w:val="16"/>
              </w:rPr>
              <w:t>Evaluator</w:t>
            </w:r>
          </w:p>
        </w:tc>
        <w:tc>
          <w:tcPr>
            <w:tcW w:type="dxa" w:w="7704"/>
            <w:vAlign w:val="center"/>
          </w:tcPr>
          <w:p>
            <w:pPr>
              <w:spacing w:after="0"/>
            </w:pPr>
            <w:r/>
            <w:r>
              <w:rPr>
                <w:rFonts w:ascii="Aptos" w:hAnsi="Aptos"/>
                <w:b w:val="0"/>
                <w:sz w:val="16"/>
              </w:rPr>
              <w:t>What normalized evaluator/condition is executable by Runtime?</w:t>
            </w:r>
          </w:p>
        </w:tc>
      </w:tr>
      <w:tr>
        <w:trPr>
          <w:cantSplit/>
        </w:trPr>
        <w:tc>
          <w:tcPr>
            <w:tcW w:type="dxa" w:w="2880"/>
            <w:vAlign w:val="center"/>
          </w:tcPr>
          <w:p>
            <w:pPr>
              <w:spacing w:after="0"/>
            </w:pPr>
            <w:r/>
            <w:r>
              <w:rPr>
                <w:rFonts w:ascii="Aptos" w:hAnsi="Aptos"/>
                <w:b w:val="0"/>
                <w:sz w:val="16"/>
              </w:rPr>
              <w:t>Parameters</w:t>
            </w:r>
          </w:p>
        </w:tc>
        <w:tc>
          <w:tcPr>
            <w:tcW w:type="dxa" w:w="7704"/>
            <w:vAlign w:val="center"/>
          </w:tcPr>
          <w:p>
            <w:pPr>
              <w:spacing w:after="0"/>
            </w:pPr>
            <w:r/>
            <w:r>
              <w:rPr>
                <w:rFonts w:ascii="Aptos" w:hAnsi="Aptos"/>
                <w:b w:val="0"/>
                <w:sz w:val="16"/>
              </w:rPr>
              <w:t>Thresholds and other compatible configuration values.</w:t>
            </w:r>
          </w:p>
        </w:tc>
      </w:tr>
      <w:tr>
        <w:trPr>
          <w:cantSplit/>
        </w:trPr>
        <w:tc>
          <w:tcPr>
            <w:tcW w:type="dxa" w:w="2880"/>
            <w:vAlign w:val="center"/>
          </w:tcPr>
          <w:p>
            <w:pPr>
              <w:spacing w:after="0"/>
            </w:pPr>
            <w:r/>
            <w:r>
              <w:rPr>
                <w:rFonts w:ascii="Aptos" w:hAnsi="Aptos"/>
                <w:b w:val="0"/>
                <w:sz w:val="16"/>
              </w:rPr>
              <w:t>Routing</w:t>
            </w:r>
          </w:p>
        </w:tc>
        <w:tc>
          <w:tcPr>
            <w:tcW w:type="dxa" w:w="7704"/>
            <w:vAlign w:val="center"/>
          </w:tcPr>
          <w:p>
            <w:pPr>
              <w:spacing w:after="0"/>
            </w:pPr>
            <w:r/>
            <w:r>
              <w:rPr>
                <w:rFonts w:ascii="Aptos" w:hAnsi="Aptos"/>
                <w:b w:val="0"/>
                <w:sz w:val="16"/>
              </w:rPr>
              <w:t>Which routing behavior belongs in the definition vs another contract?</w:t>
            </w:r>
          </w:p>
        </w:tc>
      </w:tr>
      <w:tr>
        <w:trPr>
          <w:cantSplit/>
        </w:trPr>
        <w:tc>
          <w:tcPr>
            <w:tcW w:type="dxa" w:w="2880"/>
            <w:vAlign w:val="center"/>
          </w:tcPr>
          <w:p>
            <w:pPr>
              <w:spacing w:after="0"/>
            </w:pPr>
            <w:r/>
            <w:r>
              <w:rPr>
                <w:rFonts w:ascii="Aptos" w:hAnsi="Aptos"/>
                <w:b w:val="0"/>
                <w:sz w:val="16"/>
              </w:rPr>
              <w:t>Lifecycle</w:t>
            </w:r>
          </w:p>
        </w:tc>
        <w:tc>
          <w:tcPr>
            <w:tcW w:type="dxa" w:w="7704"/>
            <w:vAlign w:val="center"/>
          </w:tcPr>
          <w:p>
            <w:pPr>
              <w:spacing w:after="0"/>
            </w:pPr>
            <w:r/>
            <w:r>
              <w:rPr>
                <w:rFonts w:ascii="Aptos" w:hAnsi="Aptos"/>
                <w:b w:val="0"/>
                <w:sz w:val="16"/>
              </w:rPr>
              <w:t>Enabled/disabled/removed/structural compatibility semantics.</w:t>
            </w:r>
          </w:p>
        </w:tc>
      </w:tr>
      <w:tr>
        <w:trPr>
          <w:cantSplit/>
        </w:trPr>
        <w:tc>
          <w:tcPr>
            <w:tcW w:type="dxa" w:w="2880"/>
            <w:vAlign w:val="center"/>
          </w:tcPr>
          <w:p>
            <w:pPr>
              <w:spacing w:after="0"/>
            </w:pPr>
            <w:r/>
            <w:r>
              <w:rPr>
                <w:rFonts w:ascii="Aptos" w:hAnsi="Aptos"/>
                <w:b w:val="0"/>
                <w:sz w:val="16"/>
              </w:rPr>
              <w:t>Management</w:t>
            </w:r>
          </w:p>
        </w:tc>
        <w:tc>
          <w:tcPr>
            <w:tcW w:type="dxa" w:w="7704"/>
            <w:vAlign w:val="center"/>
          </w:tcPr>
          <w:p>
            <w:pPr>
              <w:spacing w:after="0"/>
            </w:pPr>
            <w:r/>
            <w:r>
              <w:rPr>
                <w:rFonts w:ascii="Aptos" w:hAnsi="Aptos"/>
                <w:b w:val="0"/>
                <w:sz w:val="16"/>
              </w:rPr>
              <w:t>What management/deactivation behavior is allowed for the alarm?</w:t>
            </w:r>
          </w:p>
        </w:tc>
      </w:tr>
      <w:tr>
        <w:trPr>
          <w:cantSplit/>
        </w:trPr>
        <w:tc>
          <w:tcPr>
            <w:tcW w:type="dxa" w:w="2880"/>
            <w:vAlign w:val="center"/>
          </w:tcPr>
          <w:p>
            <w:pPr>
              <w:spacing w:after="0"/>
            </w:pPr>
            <w:r/>
            <w:r>
              <w:rPr>
                <w:rFonts w:ascii="Aptos" w:hAnsi="Aptos"/>
                <w:b w:val="0"/>
                <w:sz w:val="16"/>
              </w:rPr>
              <w:t>Revision metadata</w:t>
            </w:r>
          </w:p>
        </w:tc>
        <w:tc>
          <w:tcPr>
            <w:tcW w:type="dxa" w:w="7704"/>
            <w:vAlign w:val="center"/>
          </w:tcPr>
          <w:p>
            <w:pPr>
              <w:spacing w:after="0"/>
            </w:pPr>
            <w:r/>
            <w:r>
              <w:rPr>
                <w:rFonts w:ascii="Aptos" w:hAnsi="Aptos"/>
                <w:b w:val="0"/>
                <w:sz w:val="16"/>
              </w:rPr>
              <w:t>What source/tool/alarm revision keys must Runtime persist and compare?</w:t>
            </w:r>
          </w:p>
        </w:tc>
      </w:tr>
    </w:tbl>
    <w:p>
      <w:r>
        <w:t>The Configuration UI must author a backend configuration model that resolves into this canonical output. The UI must never become the authority for internal Runtime object construction.</w:t>
      </w:r>
    </w:p>
    <w:p>
      <w:pPr>
        <w:pStyle w:val="Heading1"/>
      </w:pPr>
      <w:r>
        <w:t>14. Data Sources / Delivery direction</w:t>
      </w:r>
    </w:p>
    <w:p>
      <w:r>
        <w:t>Reuse the already-established source philosophy: Tool Configuration declares which sources a Tool consumes. Providers acquire data, normalized delivery contracts expose it, and Runtime/Web consume those contracts. Do not inject PI, Dispatch or any other source through hidden rules.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vAlign w:val="center"/>
            <w:shd w:fill="D9E2F3"/>
          </w:tcPr>
          <w:p>
            <w:pPr>
              <w:spacing w:after="0"/>
            </w:pPr>
            <w:r/>
            <w:r>
              <w:rPr>
                <w:rFonts w:ascii="Aptos" w:hAnsi="Aptos"/>
                <w:b/>
                <w:sz w:val="16"/>
              </w:rPr>
              <w:t>Layer</w:t>
            </w:r>
          </w:p>
        </w:tc>
        <w:tc>
          <w:tcPr>
            <w:tcW w:type="dxa" w:w="7560"/>
            <w:vAlign w:val="center"/>
            <w:shd w:fill="D9E2F3"/>
          </w:tcPr>
          <w:p>
            <w:pPr>
              <w:spacing w:after="0"/>
            </w:pPr>
            <w:r/>
            <w:r>
              <w:rPr>
                <w:rFonts w:ascii="Aptos" w:hAnsi="Aptos"/>
                <w:b/>
                <w:sz w:val="16"/>
              </w:rPr>
              <w:t>Responsibility</w:t>
            </w:r>
          </w:p>
        </w:tc>
      </w:tr>
      <w:tr>
        <w:trPr>
          <w:cantSplit/>
        </w:trPr>
        <w:tc>
          <w:tcPr>
            <w:tcW w:type="dxa" w:w="3024"/>
            <w:vAlign w:val="center"/>
          </w:tcPr>
          <w:p>
            <w:pPr>
              <w:spacing w:after="0"/>
            </w:pPr>
            <w:r/>
            <w:r>
              <w:rPr>
                <w:rFonts w:ascii="Aptos" w:hAnsi="Aptos"/>
                <w:b w:val="0"/>
                <w:sz w:val="16"/>
              </w:rPr>
              <w:t>Tool Configuration</w:t>
            </w:r>
          </w:p>
        </w:tc>
        <w:tc>
          <w:tcPr>
            <w:tcW w:type="dxa" w:w="7560"/>
            <w:vAlign w:val="center"/>
          </w:tcPr>
          <w:p>
            <w:pPr>
              <w:spacing w:after="0"/>
            </w:pPr>
            <w:r/>
            <w:r>
              <w:rPr>
                <w:rFonts w:ascii="Aptos" w:hAnsi="Aptos"/>
                <w:b w:val="0"/>
                <w:sz w:val="16"/>
              </w:rPr>
              <w:t>Declare actual consumed sources.</w:t>
            </w:r>
          </w:p>
        </w:tc>
      </w:tr>
      <w:tr>
        <w:trPr>
          <w:cantSplit/>
        </w:trPr>
        <w:tc>
          <w:tcPr>
            <w:tcW w:type="dxa" w:w="3024"/>
            <w:vAlign w:val="center"/>
          </w:tcPr>
          <w:p>
            <w:pPr>
              <w:spacing w:after="0"/>
            </w:pPr>
            <w:r/>
            <w:r>
              <w:rPr>
                <w:rFonts w:ascii="Aptos" w:hAnsi="Aptos"/>
                <w:b w:val="0"/>
                <w:sz w:val="16"/>
              </w:rPr>
              <w:t>Source provider/adaptor</w:t>
            </w:r>
          </w:p>
        </w:tc>
        <w:tc>
          <w:tcPr>
            <w:tcW w:type="dxa" w:w="7560"/>
            <w:vAlign w:val="center"/>
          </w:tcPr>
          <w:p>
            <w:pPr>
              <w:spacing w:after="0"/>
            </w:pPr>
            <w:r/>
            <w:r>
              <w:rPr>
                <w:rFonts w:ascii="Aptos" w:hAnsi="Aptos"/>
                <w:b w:val="0"/>
                <w:sz w:val="16"/>
              </w:rPr>
              <w:t>Acquire from PI / Dispatch / BlockGrade / future source.</w:t>
            </w:r>
          </w:p>
        </w:tc>
      </w:tr>
      <w:tr>
        <w:trPr>
          <w:cantSplit/>
        </w:trPr>
        <w:tc>
          <w:tcPr>
            <w:tcW w:type="dxa" w:w="3024"/>
            <w:vAlign w:val="center"/>
          </w:tcPr>
          <w:p>
            <w:pPr>
              <w:spacing w:after="0"/>
            </w:pPr>
            <w:r/>
            <w:r>
              <w:rPr>
                <w:rFonts w:ascii="Aptos" w:hAnsi="Aptos"/>
                <w:b w:val="0"/>
                <w:sz w:val="16"/>
              </w:rPr>
              <w:t>Normalization</w:t>
            </w:r>
          </w:p>
        </w:tc>
        <w:tc>
          <w:tcPr>
            <w:tcW w:type="dxa" w:w="7560"/>
            <w:vAlign w:val="center"/>
          </w:tcPr>
          <w:p>
            <w:pPr>
              <w:spacing w:after="0"/>
            </w:pPr>
            <w:r/>
            <w:r>
              <w:rPr>
                <w:rFonts w:ascii="Aptos" w:hAnsi="Aptos"/>
                <w:b w:val="0"/>
                <w:sz w:val="16"/>
              </w:rPr>
              <w:t>Convert external shape into canonical source data.</w:t>
            </w:r>
          </w:p>
        </w:tc>
      </w:tr>
      <w:tr>
        <w:trPr>
          <w:cantSplit/>
        </w:trPr>
        <w:tc>
          <w:tcPr>
            <w:tcW w:type="dxa" w:w="3024"/>
            <w:vAlign w:val="center"/>
          </w:tcPr>
          <w:p>
            <w:pPr>
              <w:spacing w:after="0"/>
            </w:pPr>
            <w:r/>
            <w:r>
              <w:rPr>
                <w:rFonts w:ascii="Aptos" w:hAnsi="Aptos"/>
                <w:b w:val="0"/>
                <w:sz w:val="16"/>
              </w:rPr>
              <w:t>Delivery</w:t>
            </w:r>
          </w:p>
        </w:tc>
        <w:tc>
          <w:tcPr>
            <w:tcW w:type="dxa" w:w="7560"/>
            <w:vAlign w:val="center"/>
          </w:tcPr>
          <w:p>
            <w:pPr>
              <w:spacing w:after="0"/>
            </w:pPr>
            <w:r/>
            <w:r>
              <w:rPr>
                <w:rFonts w:ascii="Aptos" w:hAnsi="Aptos"/>
                <w:b w:val="0"/>
                <w:sz w:val="16"/>
              </w:rPr>
              <w:t>Expose data through the existing generic delivery/dataset contracts.</w:t>
            </w:r>
          </w:p>
        </w:tc>
      </w:tr>
      <w:tr>
        <w:trPr>
          <w:cantSplit/>
        </w:trPr>
        <w:tc>
          <w:tcPr>
            <w:tcW w:type="dxa" w:w="3024"/>
            <w:vAlign w:val="center"/>
          </w:tcPr>
          <w:p>
            <w:pPr>
              <w:spacing w:after="0"/>
            </w:pPr>
            <w:r/>
            <w:r>
              <w:rPr>
                <w:rFonts w:ascii="Aptos" w:hAnsi="Aptos"/>
                <w:b w:val="0"/>
                <w:sz w:val="16"/>
              </w:rPr>
              <w:t>Alarm Process</w:t>
            </w:r>
          </w:p>
        </w:tc>
        <w:tc>
          <w:tcPr>
            <w:tcW w:type="dxa" w:w="7560"/>
            <w:vAlign w:val="center"/>
          </w:tcPr>
          <w:p>
            <w:pPr>
              <w:spacing w:after="0"/>
            </w:pPr>
            <w:r/>
            <w:r>
              <w:rPr>
                <w:rFonts w:ascii="Aptos" w:hAnsi="Aptos"/>
                <w:b w:val="0"/>
                <w:sz w:val="16"/>
              </w:rPr>
              <w:t>Request/compose required data; no direct vendor API coupling.</w:t>
            </w:r>
          </w:p>
        </w:tc>
      </w:tr>
      <w:tr>
        <w:trPr>
          <w:cantSplit/>
        </w:trPr>
        <w:tc>
          <w:tcPr>
            <w:tcW w:type="dxa" w:w="3024"/>
            <w:vAlign w:val="center"/>
          </w:tcPr>
          <w:p>
            <w:pPr>
              <w:spacing w:after="0"/>
            </w:pPr>
            <w:r/>
            <w:r>
              <w:rPr>
                <w:rFonts w:ascii="Aptos" w:hAnsi="Aptos"/>
                <w:b w:val="0"/>
                <w:sz w:val="16"/>
              </w:rPr>
              <w:t>Alarm Runtime</w:t>
            </w:r>
          </w:p>
        </w:tc>
        <w:tc>
          <w:tcPr>
            <w:tcW w:type="dxa" w:w="7560"/>
            <w:vAlign w:val="center"/>
          </w:tcPr>
          <w:p>
            <w:pPr>
              <w:spacing w:after="0"/>
            </w:pPr>
            <w:r/>
            <w:r>
              <w:rPr>
                <w:rFonts w:ascii="Aptos" w:hAnsi="Aptos"/>
                <w:b w:val="0"/>
                <w:sz w:val="16"/>
              </w:rPr>
              <w:t>Evaluate against delivered canonical data.</w:t>
            </w:r>
          </w:p>
        </w:tc>
      </w:tr>
    </w:tbl>
    <w:p>
      <w:pPr>
        <w:pStyle w:val="Heading1"/>
      </w:pPr>
      <w:r>
        <w:t>15. Management integration direction</w:t>
      </w:r>
    </w:p>
    <w:tbl>
      <w:tblPr>
        <w:tblStyle w:val="TableGrid"/>
        <w:tblW w:type="auto" w:w="0"/>
        <w:jc w:val="center"/>
        <w:tblLook w:firstColumn="1" w:firstRow="1" w:lastColumn="0" w:lastRow="0" w:noHBand="0" w:noVBand="1" w:val="04A0"/>
      </w:tblPr>
      <w:tblGrid>
        <w:gridCol w:w="5184"/>
        <w:gridCol w:w="5184"/>
      </w:tblGrid>
      <w:tr>
        <w:trPr>
          <w:cantSplit/>
        </w:trPr>
        <w:tc>
          <w:tcPr>
            <w:tcW w:type="dxa" w:w="3384"/>
            <w:vAlign w:val="center"/>
            <w:shd w:fill="D9E2F3"/>
          </w:tcPr>
          <w:p>
            <w:pPr>
              <w:spacing w:after="0"/>
            </w:pPr>
            <w:r/>
            <w:r>
              <w:rPr>
                <w:rFonts w:ascii="Aptos" w:hAnsi="Aptos"/>
                <w:b/>
                <w:sz w:val="16"/>
              </w:rPr>
              <w:t>Capability</w:t>
            </w:r>
          </w:p>
        </w:tc>
        <w:tc>
          <w:tcPr>
            <w:tcW w:type="dxa" w:w="7200"/>
            <w:vAlign w:val="center"/>
            <w:shd w:fill="D9E2F3"/>
          </w:tcPr>
          <w:p>
            <w:pPr>
              <w:spacing w:after="0"/>
            </w:pPr>
            <w:r/>
            <w:r>
              <w:rPr>
                <w:rFonts w:ascii="Aptos" w:hAnsi="Aptos"/>
                <w:b/>
                <w:sz w:val="16"/>
              </w:rPr>
              <w:t>Decision</w:t>
            </w:r>
          </w:p>
        </w:tc>
      </w:tr>
      <w:tr>
        <w:trPr>
          <w:cantSplit/>
        </w:trPr>
        <w:tc>
          <w:tcPr>
            <w:tcW w:type="dxa" w:w="3384"/>
            <w:vAlign w:val="center"/>
          </w:tcPr>
          <w:p>
            <w:pPr>
              <w:spacing w:after="0"/>
            </w:pPr>
            <w:r/>
            <w:r>
              <w:rPr>
                <w:rFonts w:ascii="Aptos" w:hAnsi="Aptos"/>
                <w:b w:val="0"/>
                <w:sz w:val="16"/>
              </w:rPr>
              <w:t>ManagementAction processing</w:t>
            </w:r>
          </w:p>
        </w:tc>
        <w:tc>
          <w:tcPr>
            <w:tcW w:type="dxa" w:w="7200"/>
            <w:vAlign w:val="center"/>
          </w:tcPr>
          <w:p>
            <w:pPr>
              <w:spacing w:after="0"/>
            </w:pPr>
            <w:r/>
            <w:r>
              <w:rPr>
                <w:rFonts w:ascii="Aptos" w:hAnsi="Aptos"/>
                <w:b w:val="0"/>
                <w:sz w:val="16"/>
              </w:rPr>
              <w:t>Runtime behavior is validated; next product task is the real acquisition/delivery process.</w:t>
            </w:r>
          </w:p>
        </w:tc>
      </w:tr>
      <w:tr>
        <w:trPr>
          <w:cantSplit/>
        </w:trPr>
        <w:tc>
          <w:tcPr>
            <w:tcW w:type="dxa" w:w="3384"/>
            <w:vAlign w:val="center"/>
          </w:tcPr>
          <w:p>
            <w:pPr>
              <w:spacing w:after="0"/>
            </w:pPr>
            <w:r/>
            <w:r>
              <w:rPr>
                <w:rFonts w:ascii="Aptos" w:hAnsi="Aptos"/>
                <w:b w:val="0"/>
                <w:sz w:val="16"/>
              </w:rPr>
              <w:t>Approved deactivation Decisions</w:t>
            </w:r>
          </w:p>
        </w:tc>
        <w:tc>
          <w:tcPr>
            <w:tcW w:type="dxa" w:w="7200"/>
            <w:vAlign w:val="center"/>
          </w:tcPr>
          <w:p>
            <w:pPr>
              <w:spacing w:after="0"/>
            </w:pPr>
            <w:r/>
            <w:r>
              <w:rPr>
                <w:rFonts w:ascii="Aptos" w:hAnsi="Aptos"/>
                <w:b w:val="0"/>
                <w:sz w:val="16"/>
              </w:rPr>
              <w:t>Behavior is validated but source acquisition is not immediately required.</w:t>
            </w:r>
          </w:p>
        </w:tc>
      </w:tr>
      <w:tr>
        <w:trPr>
          <w:cantSplit/>
        </w:trPr>
        <w:tc>
          <w:tcPr>
            <w:tcW w:type="dxa" w:w="3384"/>
            <w:vAlign w:val="center"/>
          </w:tcPr>
          <w:p>
            <w:pPr>
              <w:spacing w:after="0"/>
            </w:pPr>
            <w:r/>
            <w:r>
              <w:rPr>
                <w:rFonts w:ascii="Aptos" w:hAnsi="Aptos"/>
                <w:b w:val="0"/>
                <w:sz w:val="16"/>
              </w:rPr>
              <w:t>Source of truth</w:t>
            </w:r>
          </w:p>
        </w:tc>
        <w:tc>
          <w:tcPr>
            <w:tcW w:type="dxa" w:w="7200"/>
            <w:vAlign w:val="center"/>
          </w:tcPr>
          <w:p>
            <w:pPr>
              <w:spacing w:after="0"/>
            </w:pPr>
            <w:r/>
            <w:r>
              <w:rPr>
                <w:rFonts w:ascii="Aptos" w:hAnsi="Aptos"/>
                <w:b w:val="0"/>
                <w:sz w:val="16"/>
              </w:rPr>
              <w:t>Must be explicitly selected later; no temporary harness becomes the production source.</w:t>
            </w:r>
          </w:p>
        </w:tc>
      </w:tr>
      <w:tr>
        <w:trPr>
          <w:cantSplit/>
        </w:trPr>
        <w:tc>
          <w:tcPr>
            <w:tcW w:type="dxa" w:w="3384"/>
            <w:vAlign w:val="center"/>
          </w:tcPr>
          <w:p>
            <w:pPr>
              <w:spacing w:after="0"/>
            </w:pPr>
            <w:r/>
            <w:r>
              <w:rPr>
                <w:rFonts w:ascii="Aptos" w:hAnsi="Aptos"/>
                <w:b w:val="0"/>
                <w:sz w:val="16"/>
              </w:rPr>
              <w:t>Delivery contract</w:t>
            </w:r>
          </w:p>
        </w:tc>
        <w:tc>
          <w:tcPr>
            <w:tcW w:type="dxa" w:w="7200"/>
            <w:vAlign w:val="center"/>
          </w:tcPr>
          <w:p>
            <w:pPr>
              <w:spacing w:after="0"/>
            </w:pPr>
            <w:r/>
            <w:r>
              <w:rPr>
                <w:rFonts w:ascii="Aptos" w:hAnsi="Aptos"/>
                <w:b w:val="0"/>
                <w:sz w:val="16"/>
              </w:rPr>
              <w:t>Preserve durable/correlated identity and receipt-before-cursor semantics already proven.</w:t>
            </w:r>
          </w:p>
        </w:tc>
      </w:tr>
    </w:tbl>
    <w:p>
      <w:pPr>
        <w:pStyle w:val="Heading1"/>
      </w:pPr>
      <w:r>
        <w:t>16. Working rules for the next chat</w:t>
      </w:r>
    </w:p>
    <w:p>
      <w:pPr>
        <w:pStyle w:val="ListBullet"/>
        <w:spacing w:after="40"/>
      </w:pPr>
      <w:r>
        <w:t>Python 3.14.2 target and UV; never PIP.</w:t>
      </w:r>
    </w:p>
    <w:p>
      <w:pPr>
        <w:pStyle w:val="ListBullet"/>
        <w:spacing w:after="40"/>
      </w:pPr>
      <w:r>
        <w:t>Atlanticus remains modular and reusable beyond ADA.</w:t>
      </w:r>
    </w:p>
    <w:p>
      <w:pPr>
        <w:pStyle w:val="ListBullet"/>
        <w:spacing w:after="40"/>
      </w:pPr>
      <w:r>
        <w:t>Backend contracts before frontend.</w:t>
      </w:r>
    </w:p>
    <w:p>
      <w:pPr>
        <w:pStyle w:val="ListBullet"/>
        <w:spacing w:after="40"/>
      </w:pPr>
      <w:r>
        <w:t>Only agreed changes, tests and commented mirror.</w:t>
      </w:r>
    </w:p>
    <w:p>
      <w:pPr>
        <w:pStyle w:val="ListBullet"/>
        <w:spacing w:after="40"/>
      </w:pPr>
      <w:r>
        <w:t>Do not expose secrets in code/logs.</w:t>
      </w:r>
    </w:p>
    <w:p>
      <w:pPr>
        <w:pStyle w:val="ListBullet"/>
        <w:spacing w:after="40"/>
      </w:pPr>
      <w:r>
        <w:t>Prefer explicit composition over global clients or monolithic configuration.</w:t>
      </w:r>
    </w:p>
    <w:p>
      <w:pPr>
        <w:pStyle w:val="ListBullet"/>
        <w:spacing w:after="40"/>
      </w:pPr>
      <w:r>
        <w:t>No Azure-controlled qualification campaign in the current cycle.</w:t>
      </w:r>
    </w:p>
    <w:p>
      <w:pPr>
        <w:pStyle w:val="ListBullet"/>
        <w:spacing w:after="40"/>
      </w:pPr>
      <w:r>
        <w:t>No long performance campaign unless a new measurable risk justifies one.</w:t>
      </w:r>
    </w:p>
    <w:p>
      <w:pPr>
        <w:pStyle w:val="ListBullet"/>
        <w:spacing w:after="40"/>
      </w:pPr>
      <w:r>
        <w:t>Use files from the new chat as authority for current package versions and source structure.</w:t>
      </w:r>
    </w:p>
    <w:p>
      <w:pPr>
        <w:pStyle w:val="ListBullet"/>
        <w:spacing w:after="40"/>
      </w:pPr>
      <w:r>
        <w:t>When old checkpoint information conflicts with current code, stop and resolve the contract difference explicitly.</w:t>
      </w:r>
    </w:p>
    <w:p>
      <w:pPr>
        <w:pStyle w:val="Heading1"/>
      </w:pPr>
      <w:r>
        <w:t>17. Starter message for the new chat</w:t>
      </w:r>
    </w:p>
    <w:p>
      <w:pPr>
        <w:ind w:left="288" w:right="288"/>
      </w:pPr>
      <w:r>
        <w:rPr>
          <w:i/>
        </w:rPr>
        <w:t>Continuemos Atlanticus desde `Atlanticus_R36_Clean_Integration_Handoff_v1.0.0`. R3.5 está cerrada PASS/GREEN. No quiero iniciar una campaña Azure ni más stress por ahora. Adjunto la estructura limpia/final de Atlanticus, los contratos que ya estoy consumiendo y los paquetes actuales de Alarm Runtime/Process. Primero haz un inventario y compara los contratos/ownership, valida Runtime y Process contra la línea base R3.5 y clasifica cada pieza como KEEP / PRODUCTIZE / RETIRE / DEFER / REWORK. No hagas cambios hasta tener el mapa y detectar el primer gap real. Luego avanzamos por incrementos pequeños hasta unir la estructura limpia con el proceso de alarmas y completar Configuration, Sources/Delivery y Management integration.</w:t>
      </w:r>
    </w:p>
    <w:p>
      <w:pPr>
        <w:pStyle w:val="Heading1"/>
      </w:pPr>
      <w:r>
        <w:t>18. Definition of success for this transition</w:t>
      </w:r>
    </w:p>
    <w:p>
      <w:r>
        <w:rPr>
          <w:b/>
        </w:rPr>
        <w:t>A clean authoritative Atlanticus repository where the Alarm Runtime and Alarm Process compose through explicit validated contracts, temporary R3.5 artifacts are no longer architectural dependencies, and the remaining product roadmap is driven by missing operational capabilities rather than by test infrastructure.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Atlanticus · R3.6 Clean Integration &amp; Operational Productization Handoff ·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