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Apo/holo comparison — concise summary</w:t>
      </w:r>
    </w:p>
    <w:p>
      <w:pPr>
        <w:pStyle w:val="Subtitle"/>
      </w:pPr>
      <w:r>
        <w:t>Dataset snapshot: 3 October 2026  |  Report: 5 October 2026</w:t>
      </w:r>
    </w:p>
    <w:p>
      <w:pPr>
        <w:pStyle w:val="Heading1"/>
      </w:pPr>
      <w:r>
        <w:t>1. Coverage and cofactor screening</w:t>
      </w:r>
    </w:p>
    <w:p>
      <w:pPr>
        <w:pStyle w:val="Normal"/>
      </w:pPr>
      <w:r>
        <w:t>Counts below are distinct proteins (UniProt accessions), rather than PDB structures or reactions. The global comparison groups enzymes with both ligand-free (apo) and ligand-containing (holo) structures.</w:t>
      </w:r>
    </w:p>
    <w:tbl>
      <w:tblPr>
        <w:tblW w:w="10038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3250"/>
        <w:gridCol w:w="1250"/>
        <w:gridCol w:w="5538"/>
      </w:tblGrid>
      <w:tr>
        <w:trPr>
          <w:cantSplit/>
          <w:tblHeader/>
        </w:trPr>
        <w:tc>
          <w:tcPr>
            <w:tcW w:w="3250" w:type="dxa"/>
            <w:vAlign w:val="center"/>
            <w:shd w:fill="E7EEF5" w:val="clear"/>
          </w:tcPr>
          <w:p>
            <w:pPr>
              <w:pStyle w:val="TableText"/>
              <w:spacing w:after="0"/>
            </w:pPr>
            <w:r>
              <w:rPr>
                <w:b/>
              </w:rPr>
              <w:t>Screen</w:t>
            </w:r>
          </w:p>
        </w:tc>
        <w:tc>
          <w:tcPr>
            <w:tcW w:w="1250" w:type="dxa"/>
            <w:vAlign w:val="center"/>
            <w:shd w:fill="E7EEF5" w:val="clear"/>
          </w:tcPr>
          <w:p>
            <w:pPr>
              <w:pStyle w:val="TableText"/>
              <w:spacing w:after="0"/>
            </w:pPr>
            <w:r>
              <w:rPr>
                <w:b/>
              </w:rPr>
              <w:t>Proteins</w:t>
            </w:r>
          </w:p>
        </w:tc>
        <w:tc>
          <w:tcPr>
            <w:tcW w:w="5538" w:type="dxa"/>
            <w:vAlign w:val="center"/>
            <w:shd w:fill="E7EEF5" w:val="clear"/>
          </w:tcPr>
          <w:p>
            <w:pPr>
              <w:pStyle w:val="TableText"/>
              <w:spacing w:after="0"/>
            </w:pPr>
            <w:r>
              <w:rPr>
                <w:b/>
              </w:rPr>
              <w:t>Interpretation</w:t>
            </w:r>
          </w:p>
        </w:tc>
      </w:tr>
      <w:tr>
        <w:trPr>
          <w:cantSplit/>
        </w:trPr>
        <w:tc>
          <w:tcPr>
            <w:tcW w:w="3250" w:type="dxa"/>
            <w:vAlign w:val="center"/>
          </w:tcPr>
          <w:p>
            <w:pPr>
              <w:pStyle w:val="TableText"/>
              <w:spacing w:after="0"/>
            </w:pPr>
            <w:r>
              <w:t>Global apo/holo comparison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  <w:spacing w:after="0"/>
            </w:pPr>
            <w:r>
              <w:t>6,878</w:t>
            </w:r>
          </w:p>
        </w:tc>
        <w:tc>
          <w:tcPr>
            <w:tcW w:w="5538" w:type="dxa"/>
            <w:vAlign w:val="center"/>
          </w:tcPr>
          <w:p>
            <w:pPr>
              <w:pStyle w:val="TableText"/>
              <w:spacing w:after="0"/>
            </w:pPr>
            <w:r>
              <w:t>Grouped by the same UniProt accession.</w:t>
            </w:r>
          </w:p>
        </w:tc>
      </w:tr>
      <w:tr>
        <w:trPr>
          <w:cantSplit/>
        </w:trPr>
        <w:tc>
          <w:tcPr>
            <w:tcW w:w="3250" w:type="dxa"/>
            <w:vAlign w:val="center"/>
          </w:tcPr>
          <w:p>
            <w:pPr>
              <w:pStyle w:val="TableText"/>
              <w:spacing w:after="0"/>
            </w:pPr>
            <w:r>
              <w:t>Overlap with M-CSA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  <w:spacing w:after="0"/>
            </w:pPr>
            <w:r>
              <w:t>524 (7.6%)</w:t>
            </w:r>
          </w:p>
        </w:tc>
        <w:tc>
          <w:tcPr>
            <w:tcW w:w="5538" w:type="dxa"/>
            <w:vAlign w:val="center"/>
          </w:tcPr>
          <w:p>
            <w:pPr>
              <w:pStyle w:val="TableText"/>
              <w:spacing w:after="0"/>
            </w:pPr>
            <w:r>
              <w:t>Exact accession matches; these represent 512 M-CSA entries.</w:t>
            </w:r>
          </w:p>
        </w:tc>
      </w:tr>
      <w:tr>
        <w:trPr>
          <w:cantSplit/>
        </w:trPr>
        <w:tc>
          <w:tcPr>
            <w:tcW w:w="3250" w:type="dxa"/>
            <w:vAlign w:val="center"/>
          </w:tcPr>
          <w:p>
            <w:pPr>
              <w:pStyle w:val="TableText"/>
              <w:spacing w:after="0"/>
            </w:pPr>
            <w:r>
              <w:t>Cofactor-associated apo/holo candidates within the M-CSA overlap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  <w:spacing w:after="0"/>
            </w:pPr>
            <w:r>
              <w:t>201</w:t>
            </w:r>
          </w:p>
        </w:tc>
        <w:tc>
          <w:tcPr>
            <w:tcW w:w="5538" w:type="dxa"/>
            <w:vAlign w:val="center"/>
          </w:tcPr>
          <w:p>
            <w:pPr>
              <w:pStyle w:val="TableText"/>
              <w:spacing w:after="0"/>
            </w:pPr>
            <w:r>
              <w:t>At least one holo entity contains a supported cofactor; an apo structure also exists.</w:t>
            </w:r>
          </w:p>
        </w:tc>
      </w:tr>
      <w:tr>
        <w:trPr>
          <w:cantSplit/>
        </w:trPr>
        <w:tc>
          <w:tcPr>
            <w:tcW w:w="3250" w:type="dxa"/>
            <w:vAlign w:val="center"/>
          </w:tcPr>
          <w:p>
            <w:pPr>
              <w:pStyle w:val="TableText"/>
              <w:spacing w:after="0"/>
            </w:pPr>
            <w:r>
              <w:t>The above, with no mapped substrate/product on either side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  <w:spacing w:after="0"/>
            </w:pPr>
            <w:r>
              <w:t>149</w:t>
            </w:r>
          </w:p>
        </w:tc>
        <w:tc>
          <w:tcPr>
            <w:tcW w:w="5538" w:type="dxa"/>
            <w:vAlign w:val="center"/>
          </w:tcPr>
          <w:p>
            <w:pPr>
              <w:pStyle w:val="TableText"/>
              <w:spacing w:after="0"/>
            </w:pPr>
            <w:r>
              <w:t>Distinct apo and cofactor-only holo PDB entries; the holo ligand inventory contains only supported cofactors.</w:t>
            </w:r>
          </w:p>
        </w:tc>
      </w:tr>
    </w:tbl>
    <w:p>
      <w:pPr>
        <w:pStyle w:val="Normal"/>
        <w:spacing w:after="50"/>
      </w:pPr>
    </w:p>
    <w:p>
      <w:pPr>
        <w:pStyle w:val="Small"/>
      </w:pPr>
      <w:r>
        <w:t>The 201 and 149 counts are inventory-screened candidates, not sequence/chain-validated cofactor-binding comparisons. They use the existing cofactor definitions (organic cofactors, Fe–S clusters and enzyme-supported metals), which omit vanadate. “No substrate” means no modeled M-CSA-mapped substrate/product; it does not establish absence in the experiment.</w:t>
      </w:r>
    </w:p>
    <w:p>
      <w:pPr>
        <w:pStyle w:val="Heading1"/>
      </w:pPr>
      <w:r>
        <w:t>2. Stricter comparison: cofactor retained, substrate absent/present</w:t>
      </w:r>
    </w:p>
    <w:p>
      <w:pPr>
        <w:pStyle w:val="Normal"/>
      </w:pPr>
      <w:r>
        <w:t>A separate scan across all available M-CSA-annotated proteins found 676 initial cofactor candidates and 106 candidates requiring coordinate checks. It identified 19 proteins with 74 eligible substrate-free/substrate-bound PDB pairs retaining the same cofactor component(s): 69 complete pairs across 18 proteins, plus 5 partial pairs. Only 6 of these 19 proteins belong to the global 524-protein overlap, so these counts are not successive filters of that set.</w:t>
      </w:r>
    </w:p>
    <w:p>
      <w:pPr>
        <w:pStyle w:val="Heading1"/>
      </w:pPr>
      <w:r>
        <w:t>3. Main structural result</w:t>
      </w:r>
    </w:p>
    <w:p>
      <w:pPr>
        <w:pStyle w:val="Normal"/>
      </w:pPr>
      <w:r>
        <w:t>The global M-CSA comparison yielded 273 complete, 153 partial and 98 unavailable comparisons. At least one catalytic residue had side-chain RMSD ≥1 Å in 154/273 complete comparisons (56.4%). In the stricter cofactor-retained analysis, this occurred in 11/18 fully measurable proteins and 21/69 complete pairs. These are static structural differences, not direct measurements of dynamics.</w:t>
      </w:r>
    </w:p>
    <w:p>
      <w:pPr>
        <w:pStyle w:val="Normal"/>
      </w:pPr>
      <w:r>
        <w:br w:type="page"/>
      </w:r>
    </w:p>
    <w:p>
      <w:pPr>
        <w:pStyle w:val="Heading1"/>
      </w:pPr>
      <w:r>
        <w:t>4. Chlorination enzymes</w:t>
      </w:r>
    </w:p>
    <w:p>
      <w:pPr>
        <w:pStyle w:val="Normal"/>
      </w:pPr>
      <w:r>
        <w:t>The global apo/holo groups contain 4 substrate-directed chlorinating halogenases and 2 chloride-oxidizing peroxidases: 6 chlorination-associated proteins in total. The substrate and enzyme class are listed below.</w:t>
      </w:r>
    </w:p>
    <w:tbl>
      <w:tblPr>
        <w:tblW w:w="10038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100"/>
        <w:gridCol w:w="3840"/>
        <w:gridCol w:w="2700"/>
        <w:gridCol w:w="1398"/>
      </w:tblGrid>
      <w:tr>
        <w:trPr>
          <w:cantSplit/>
          <w:tblHeader/>
        </w:trPr>
        <w:tc>
          <w:tcPr>
            <w:tcW w:w="2100" w:type="dxa"/>
            <w:vAlign w:val="center"/>
            <w:shd w:fill="E7EEF5" w:val="clear"/>
          </w:tcPr>
          <w:p>
            <w:pPr>
              <w:pStyle w:val="TableText"/>
              <w:spacing w:after="0"/>
            </w:pPr>
            <w:r>
              <w:rPr>
                <w:b/>
              </w:rPr>
              <w:t>Enzyme / UniProt</w:t>
            </w:r>
          </w:p>
        </w:tc>
        <w:tc>
          <w:tcPr>
            <w:tcW w:w="3840" w:type="dxa"/>
            <w:vAlign w:val="center"/>
            <w:shd w:fill="E7EEF5" w:val="clear"/>
          </w:tcPr>
          <w:p>
            <w:pPr>
              <w:pStyle w:val="TableText"/>
              <w:spacing w:after="0"/>
            </w:pPr>
            <w:r>
              <w:rPr>
                <w:b/>
              </w:rPr>
              <w:t>Substrate and chlorination</w:t>
            </w:r>
          </w:p>
        </w:tc>
        <w:tc>
          <w:tcPr>
            <w:tcW w:w="2700" w:type="dxa"/>
            <w:vAlign w:val="center"/>
            <w:shd w:fill="E7EEF5" w:val="clear"/>
          </w:tcPr>
          <w:p>
            <w:pPr>
              <w:pStyle w:val="TableText"/>
              <w:spacing w:after="0"/>
            </w:pPr>
            <w:r>
              <w:rPr>
                <w:b/>
              </w:rPr>
              <w:t>Enzyme type</w:t>
            </w:r>
          </w:p>
        </w:tc>
        <w:tc>
          <w:tcPr>
            <w:tcW w:w="1398" w:type="dxa"/>
            <w:vAlign w:val="center"/>
            <w:shd w:fill="E7EEF5" w:val="clear"/>
          </w:tcPr>
          <w:p>
            <w:pPr>
              <w:pStyle w:val="TableText"/>
              <w:spacing w:after="0"/>
            </w:pPr>
            <w:r>
              <w:rPr>
                <w:b/>
              </w:rPr>
              <w:t>M-CSA overlap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TableText"/>
              <w:spacing w:after="0"/>
            </w:pPr>
            <w:r>
              <w:t>ThaL (Thal)</w:t>
            </w:r>
          </w:p>
          <w:p>
            <w:pPr>
              <w:pStyle w:val="TableText"/>
              <w:spacing w:after="0"/>
            </w:pPr>
            <w:r>
              <w:t>A1E280</w:t>
            </w:r>
          </w:p>
        </w:tc>
        <w:tc>
          <w:tcPr>
            <w:tcW w:w="3840" w:type="dxa"/>
            <w:vAlign w:val="center"/>
          </w:tcPr>
          <w:p>
            <w:pPr>
              <w:pStyle w:val="TableText"/>
              <w:spacing w:after="0"/>
            </w:pPr>
            <w:r>
              <w:t>L-tryptophan, C6 → 6-chloro-L-tryptophan.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  <w:spacing w:after="0"/>
            </w:pPr>
            <w:r>
              <w:t>Flavin-dependent tryptophan 6-halogenase</w:t>
            </w:r>
          </w:p>
          <w:p>
            <w:pPr>
              <w:pStyle w:val="TableText"/>
              <w:spacing w:after="0"/>
            </w:pPr>
            <w:r>
              <w:t>EC 1.14.19.59</w:t>
            </w:r>
          </w:p>
        </w:tc>
        <w:tc>
          <w:tcPr>
            <w:tcW w:w="1398" w:type="dxa"/>
            <w:vAlign w:val="center"/>
          </w:tcPr>
          <w:p>
            <w:pPr>
              <w:pStyle w:val="TableText"/>
              <w:spacing w:after="0"/>
            </w:pPr>
            <w:r>
              <w:t>No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TableText"/>
              <w:spacing w:after="0"/>
            </w:pPr>
            <w:r>
              <w:t>RebH</w:t>
            </w:r>
          </w:p>
          <w:p>
            <w:pPr>
              <w:pStyle w:val="TableText"/>
              <w:spacing w:after="0"/>
            </w:pPr>
            <w:r>
              <w:t>Q8KHZ8</w:t>
            </w:r>
          </w:p>
        </w:tc>
        <w:tc>
          <w:tcPr>
            <w:tcW w:w="3840" w:type="dxa"/>
            <w:vAlign w:val="center"/>
          </w:tcPr>
          <w:p>
            <w:pPr>
              <w:pStyle w:val="TableText"/>
              <w:spacing w:after="0"/>
            </w:pPr>
            <w:r>
              <w:t>L-tryptophan, C7 → 7-chloro-L-tryptophan.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  <w:spacing w:after="0"/>
            </w:pPr>
            <w:r>
              <w:t>Flavin-dependent tryptophan 7-halogenase</w:t>
            </w:r>
          </w:p>
          <w:p>
            <w:pPr>
              <w:pStyle w:val="TableText"/>
              <w:spacing w:after="0"/>
            </w:pPr>
            <w:r>
              <w:t>EC 1.14.19.9</w:t>
            </w:r>
          </w:p>
        </w:tc>
        <w:tc>
          <w:tcPr>
            <w:tcW w:w="1398" w:type="dxa"/>
            <w:vAlign w:val="center"/>
          </w:tcPr>
          <w:p>
            <w:pPr>
              <w:pStyle w:val="TableText"/>
              <w:spacing w:after="0"/>
            </w:pPr>
            <w:r>
              <w:t>No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TableText"/>
              <w:spacing w:after="0"/>
            </w:pPr>
            <w:r>
              <w:t>CtcP</w:t>
            </w:r>
          </w:p>
          <w:p>
            <w:pPr>
              <w:pStyle w:val="TableText"/>
              <w:spacing w:after="0"/>
            </w:pPr>
            <w:r>
              <w:t>A0A1E7MYN1</w:t>
            </w:r>
          </w:p>
        </w:tc>
        <w:tc>
          <w:tcPr>
            <w:tcW w:w="3840" w:type="dxa"/>
            <w:vAlign w:val="center"/>
          </w:tcPr>
          <w:p>
            <w:pPr>
              <w:pStyle w:val="TableText"/>
              <w:spacing w:after="0"/>
            </w:pPr>
            <w:r>
              <w:t>Tetracycline, C7 → 7-chlorotetracycline (chlortetracycline).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  <w:spacing w:after="0"/>
            </w:pPr>
            <w:r>
              <w:t>Flavin-dependent tetracycline 7-halogenase</w:t>
            </w:r>
          </w:p>
          <w:p>
            <w:pPr>
              <w:pStyle w:val="TableText"/>
              <w:spacing w:after="0"/>
            </w:pPr>
            <w:r>
              <w:t>EC 1.14.19.49</w:t>
            </w:r>
          </w:p>
        </w:tc>
        <w:tc>
          <w:tcPr>
            <w:tcW w:w="1398" w:type="dxa"/>
            <w:vAlign w:val="center"/>
          </w:tcPr>
          <w:p>
            <w:pPr>
              <w:pStyle w:val="TableText"/>
              <w:spacing w:after="0"/>
            </w:pPr>
            <w:r>
              <w:t>No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TableText"/>
              <w:spacing w:after="0"/>
            </w:pPr>
            <w:r>
              <w:t>CurA halogenase domain</w:t>
            </w:r>
          </w:p>
          <w:p>
            <w:pPr>
              <w:pStyle w:val="TableText"/>
              <w:spacing w:after="0"/>
            </w:pPr>
            <w:r>
              <w:t>Q6DNF2</w:t>
            </w:r>
          </w:p>
        </w:tc>
        <w:tc>
          <w:tcPr>
            <w:tcW w:w="3840" w:type="dxa"/>
            <w:vAlign w:val="center"/>
          </w:tcPr>
          <w:p>
            <w:pPr>
              <w:pStyle w:val="TableText"/>
              <w:spacing w:after="0"/>
            </w:pPr>
            <w:r>
              <w:t>(3S)-3-hydroxy-3-methylglutaryl-ACP, C4 → chlorinated ACP-bound intermediate in curacin A biosynthesis.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  <w:spacing w:after="0"/>
            </w:pPr>
            <w:r>
              <w:t>Non-heme Fe(II)/2-oxoglutarate-dependent halogenase domain</w:t>
            </w:r>
          </w:p>
        </w:tc>
        <w:tc>
          <w:tcPr>
            <w:tcW w:w="1398" w:type="dxa"/>
            <w:vAlign w:val="center"/>
          </w:tcPr>
          <w:p>
            <w:pPr>
              <w:pStyle w:val="TableText"/>
              <w:spacing w:after="0"/>
            </w:pPr>
            <w:r>
              <w:t>No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TableText"/>
              <w:spacing w:after="0"/>
            </w:pPr>
            <w:r>
              <w:t>Vanadium chloroperoxidase</w:t>
            </w:r>
          </w:p>
          <w:p>
            <w:pPr>
              <w:pStyle w:val="TableText"/>
              <w:spacing w:after="0"/>
            </w:pPr>
            <w:r>
              <w:t>P49053</w:t>
            </w:r>
          </w:p>
        </w:tc>
        <w:tc>
          <w:tcPr>
            <w:tcW w:w="3840" w:type="dxa"/>
            <w:vAlign w:val="center"/>
          </w:tcPr>
          <w:p>
            <w:pPr>
              <w:pStyle w:val="TableText"/>
              <w:spacing w:after="0"/>
            </w:pPr>
            <w:r>
              <w:t>Chloride + H₂O₂ → HOCl; chlorinates varied organic acceptors rather than one dedicated organic substrate.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  <w:spacing w:after="0"/>
            </w:pPr>
            <w:r>
              <w:t>Vanadate-dependent haloperoxidase</w:t>
            </w:r>
          </w:p>
          <w:p>
            <w:pPr>
              <w:pStyle w:val="TableText"/>
              <w:spacing w:after="0"/>
            </w:pPr>
            <w:r>
              <w:t>EC 1.11.1.10</w:t>
            </w:r>
          </w:p>
        </w:tc>
        <w:tc>
          <w:tcPr>
            <w:tcW w:w="1398" w:type="dxa"/>
            <w:vAlign w:val="center"/>
          </w:tcPr>
          <w:p>
            <w:pPr>
              <w:pStyle w:val="TableText"/>
              <w:spacing w:after="0"/>
            </w:pPr>
            <w:r>
              <w:t>Yes</w:t>
            </w:r>
          </w:p>
          <w:p>
            <w:pPr>
              <w:pStyle w:val="TableText"/>
              <w:spacing w:after="0"/>
            </w:pPr>
            <w:r>
              <w:t>Entry 14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pStyle w:val="TableText"/>
              <w:spacing w:after="0"/>
            </w:pPr>
            <w:r>
              <w:t>Myeloperoxidase</w:t>
            </w:r>
          </w:p>
          <w:p>
            <w:pPr>
              <w:pStyle w:val="TableText"/>
              <w:spacing w:after="0"/>
            </w:pPr>
            <w:r>
              <w:t>P05164</w:t>
            </w:r>
          </w:p>
        </w:tc>
        <w:tc>
          <w:tcPr>
            <w:tcW w:w="3840" w:type="dxa"/>
            <w:vAlign w:val="center"/>
          </w:tcPr>
          <w:p>
            <w:pPr>
              <w:pStyle w:val="TableText"/>
              <w:spacing w:after="0"/>
            </w:pPr>
            <w:r>
              <w:t>Chloride + H₂O₂ → HOCl, which subsequently chlorinates biological molecules.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  <w:spacing w:after="0"/>
            </w:pPr>
            <w:r>
              <w:t>Heme-dependent peroxidase</w:t>
            </w:r>
          </w:p>
          <w:p>
            <w:pPr>
              <w:pStyle w:val="TableText"/>
              <w:spacing w:after="0"/>
            </w:pPr>
            <w:r>
              <w:t>EC 1.11.2.2</w:t>
            </w:r>
          </w:p>
        </w:tc>
        <w:tc>
          <w:tcPr>
            <w:tcW w:w="1398" w:type="dxa"/>
            <w:vAlign w:val="center"/>
          </w:tcPr>
          <w:p>
            <w:pPr>
              <w:pStyle w:val="TableText"/>
              <w:spacing w:after="0"/>
            </w:pPr>
            <w:r>
              <w:t>Yes</w:t>
            </w:r>
          </w:p>
          <w:p>
            <w:pPr>
              <w:pStyle w:val="TableText"/>
              <w:spacing w:after="0"/>
            </w:pPr>
            <w:r>
              <w:t>Entry 601</w:t>
            </w:r>
          </w:p>
        </w:tc>
      </w:tr>
    </w:tbl>
    <w:p>
      <w:pPr>
        <w:pStyle w:val="Normal"/>
        <w:spacing w:after="50"/>
      </w:pPr>
    </w:p>
    <w:p>
      <w:pPr>
        <w:pStyle w:val="Small"/>
      </w:pPr>
      <w:r>
        <w:t>ACP = acyl carrier protein; HOCl = hypochlorous acid. The first four enzymes direct chlorination of defined organic substrates; the two peroxidases generate a chlorinating oxidant.</w:t>
      </w:r>
    </w:p>
    <w:p>
      <w:pPr>
        <w:pStyle w:val="Heading2"/>
      </w:pPr>
      <w:r>
        <w:t>PrnA in the cofactor-retained subset</w:t>
      </w:r>
    </w:p>
    <w:p>
      <w:pPr>
        <w:pStyle w:val="Normal"/>
      </w:pPr>
      <w:r>
        <w:t>One of the 19 strictly matched proteins is PrnA (P95480; M-CSA 977), a flavin-dependent tryptophan 7-halogenase (EC 1.14.19.9) acting on L-tryptophan. Pair 2APG chain A → 2AQJ chain A retains FAD and gains tryptophan. Catalytic side-chain RMSDs are 0.137 Å (Lys79) and 0.240 Å (Glu346). PrnA is absent from the global apo/holo groups because its structures are globally labeled holo, including the FAD-only structure.</w:t>
      </w:r>
    </w:p>
    <w:p>
      <w:pPr>
        <w:pStyle w:val="Small"/>
      </w:pPr>
      <w:r>
        <w:t>Pair selection: CurA’s default UniProt representatives compare different domains; use the matched halogenase-domain pair 3NNJ → 3NNF for apo/cofactor-bound comparison. CtcP has a cofactor-only holo structure but no modeled tetracycline in this group.</w:t>
      </w:r>
    </w:p>
    <w:p>
      <w:pPr>
        <w:pStyle w:val="Heading2"/>
      </w:pPr>
      <w:r>
        <w:t>Sources</w:t>
      </w:r>
    </w:p>
    <w:p>
      <w:pPr>
        <w:pStyle w:val="Source"/>
      </w:pPr>
      <w:r>
        <w:t>Counts: /mnt/labs/shared/enzymes/apo_holo/{apo_holo_groups_uniprot.tsv, entity_states.tsv}; ../Fluxion/data/processed/mcsa_annotations.csv; catalytic_movement_results/summary.json; substrate_movement_results/all_mcsa/{discovery.tsv, proteins.tsv, summary.json}.</w:t>
      </w:r>
    </w:p>
    <w:p>
      <w:pPr>
        <w:pStyle w:val="Source"/>
      </w:pPr>
      <w:r>
        <w:t>Enzyme chemistry: UniProt records A1E280, Q8KHZ8, A0A1E7MYN1, Q6DNF2, P49053, P05164 and P95480 (https://www.uniprot.org/uniprotkb/ACCESSION/entry). CurA: Khare et al., PNAS (2010), doi:10.1073/pnas.1006738107. PrnA pair details: docs/substrate_movement.md.</w:t>
      </w:r>
    </w:p>
    <w:sectPr>
      <w:footerReference w:type="default" r:id="rId2"/>
      <w:pgSz w:w="11906" w:h="16838"/>
      <w:pgMar w:top="850" w:right="934" w:bottom="850" w:left="934" w:header="400" w:footer="400" w:gutter="0"/>
    </w:sectPr>
  </w:body>
</w:document>
</file>

<file path=word/footer1.xml><?xml version="1.0" encoding="utf-8"?>
<w:ftr xmlns:w="http://schemas.openxmlformats.org/wordprocessingml/2006/main">
  <w:p>
    <w:pPr>
      <w:pStyle w:val="Normal"/>
      <w:jc w:val="right"/>
    </w:pPr>
    <w:r>
      <w:t xml:space="preserve">Apo/holo comparison summary  • 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1"/>
        <w:color w:val="253342"/>
        <w:lang w:val="en-GB"/>
      </w:rPr>
    </w:rPrDefault>
    <w:pPrDefault>
      <w:pPr>
        <w:spacing w:after="100" w:line="250" w:lineRule="auto"/>
        <w:widowControl/>
      </w:pPr>
    </w:pPrDefault>
  </w:docDefaults>
  <w:style w:type="paragraph" w:styleId="Normal" w:default="1">
    <w:name w:val="Normal"/>
    <w:pPr>
      <w:spacing w:before="0" w:after="100"/>
    </w:pPr>
    <w:rPr>
      <w:sz w:val="21"/>
      <w:color w:val="253342"/>
    </w:rPr>
  </w:style>
  <w:style w:type="paragraph" w:styleId="Title">
    <w:name w:val="Title"/>
    <w:basedOn w:val="Normal"/>
    <w:pPr>
      <w:spacing w:before="0" w:after="100"/>
      <w:keepNext/>
    </w:pPr>
    <w:rPr>
      <w:sz w:val="36"/>
      <w:color w:val="1F4E79"/>
      <w:b/>
    </w:rPr>
  </w:style>
  <w:style w:type="paragraph" w:styleId="Subtitle">
    <w:name w:val="Subtitle"/>
    <w:basedOn w:val="Normal"/>
    <w:pPr>
      <w:spacing w:before="0" w:after="180"/>
      <w:keepNext/>
    </w:pPr>
    <w:rPr>
      <w:sz w:val="19"/>
      <w:color w:val="637587"/>
    </w:rPr>
  </w:style>
  <w:style w:type="paragraph" w:styleId="Heading1">
    <w:name w:val="Heading1"/>
    <w:basedOn w:val="Normal"/>
    <w:pPr>
      <w:spacing w:before="120" w:after="80"/>
      <w:keepNext/>
    </w:pPr>
    <w:rPr>
      <w:sz w:val="25"/>
      <w:color w:val="1F4E79"/>
      <w:b/>
    </w:rPr>
  </w:style>
  <w:style w:type="paragraph" w:styleId="Heading2">
    <w:name w:val="Heading2"/>
    <w:basedOn w:val="Normal"/>
    <w:pPr>
      <w:spacing w:before="100" w:after="60"/>
      <w:keepNext/>
    </w:pPr>
    <w:rPr>
      <w:sz w:val="22"/>
      <w:color w:val="1F4E79"/>
      <w:b/>
    </w:rPr>
  </w:style>
  <w:style w:type="paragraph" w:styleId="TableText">
    <w:name w:val="TableText"/>
    <w:basedOn w:val="Normal"/>
    <w:pPr>
      <w:spacing w:before="0" w:after="0"/>
    </w:pPr>
    <w:rPr>
      <w:sz w:val="19"/>
      <w:color w:val="253342"/>
    </w:rPr>
  </w:style>
  <w:style w:type="paragraph" w:styleId="Small">
    <w:name w:val="Small"/>
    <w:basedOn w:val="Normal"/>
    <w:pPr>
      <w:spacing w:before="0" w:after="100"/>
    </w:pPr>
    <w:rPr>
      <w:sz w:val="18"/>
      <w:color w:val="4B5E70"/>
    </w:rPr>
  </w:style>
  <w:style w:type="paragraph" w:styleId="Source">
    <w:name w:val="Source"/>
    <w:basedOn w:val="Normal"/>
    <w:pPr>
      <w:spacing w:before="0" w:after="60"/>
    </w:pPr>
    <w:rPr>
      <w:sz w:val="16"/>
      <w:color w:val="4B5E7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Apo/holo comparison — concise summary</dc:title>
  <dc:subject>M-CSA overlap, cofactor comparisons and chlorination enzymes</dc:subject>
  <dc:creator>quantumPDB</dc:creator>
  <dcterms:created xsi:type="dcterms:W3CDTF">2026-10-05T11:53:33Z</dcterms:created>
</cp:coreProperties>
</file>