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Calibri" w:cs="Calibri" w:eastAsia="Calibri" w:hAnsi="Calibri"/>
          <w:b w:val="1"/>
          <w:color w:val="201f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sz w:val="24"/>
          <w:szCs w:val="24"/>
          <w:rtl w:val="0"/>
        </w:rPr>
        <w:t xml:space="preserve">Resumo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95b3d7" w:val="clear"/>
        <w:spacing w:after="0" w:line="240" w:lineRule="auto"/>
        <w:jc w:val="both"/>
        <w:rPr>
          <w:rFonts w:ascii="Calibri" w:cs="Calibri" w:eastAsia="Calibri" w:hAnsi="Calibri"/>
          <w:b w:val="1"/>
          <w:color w:val="201f1e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Trabalho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b w:val="1"/>
          <w:color w:val="201f1e"/>
          <w:sz w:val="26"/>
          <w:szCs w:val="26"/>
          <w:rtl w:val="0"/>
        </w:rPr>
        <w:t xml:space="preserve">Comida que Abraça - Trabalho Interdisciplinar: Aplicações para Sustentabilidade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Integrantes do grupo:</w:t>
      </w: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 Erica Alves dos Santos, Joana Iuna de Morais, Julia Vidal Vianna, Mariana Almeida Henriques, Milena Lara Reis Ferreira e Sthel Felipe Torres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Professores orientadores:</w:t>
      </w: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 Soraia Lúcia da Silva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Joyce Cristina de Paiva Carvalho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color w:val="201f1e"/>
          <w:rtl w:val="0"/>
        </w:rPr>
        <w:t xml:space="preserve">Resumo: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line="240" w:lineRule="auto"/>
        <w:jc w:val="both"/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O sistema foi desenvolvido visando facilitar o processo de doações para a ONG Comida que Abraça, permitindo o cadastro de parceiros que podem tanto enviar quanto solicitar doações via sistemas e os usuários, sejam da ONG ou parceiros, podem acessar a plataforma por meio de login seguro. A ONG possui funcionalidades específicas para gerenciar campanhas de doação, como cadastrar novas campanhas, editar,  excluir campanhas e visualizar as disponíveis e acompanhar todo o fluxo das doações, desde o registro até a entrega, com possibilidade de aprovação ou recusa das doações. Os parceiros têm acesso a formulários para registrar doações de itens diversos, bem como para solicitar doações, podendo acompanhar o status dessas operações e visualizar histórico de registros. Para promover transparência e incentivo, a ONG pode consultar um ranking dos principais doadores e visualizar relatórios periódicos que detalham a quantidade de itens recebidos e alimentos salvos. Além disso, o sistema conta com notificações para informar os parceiros sobre campanhas criadas, garantindo maior engajamento e a ong sobre o cadastro de uma nova doação. A homepage do parceiro oferece acesso rápido às funcionalidades mais importantes, facilitando a navegação e a aplicação foi desenvolvida utilizando tecnologias como back-end em Java/Spring, front-end em React, banco de dados MySQL e foco em segurança com autenticação via Spring Security, é compatível com os principais navegadores, garantindo acessibilidade tanto em desktop quanto em dispositivos móveis.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b w:val="1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Link da apresentação: </w:t>
      </w:r>
    </w:p>
    <w:p w:rsidR="00000000" w:rsidDel="00000000" w:rsidP="00000000" w:rsidRDefault="00000000" w:rsidRPr="00000000" w14:paraId="0000000D">
      <w:pPr>
        <w:shd w:fill="ffffff" w:val="clear"/>
        <w:spacing w:after="120" w:line="240" w:lineRule="auto"/>
        <w:jc w:val="both"/>
        <w:rPr>
          <w:color w:val="201f1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https://www.canva.com/design/DAGqttQqkpk/csejV_p5JKUjfVI-Ale3aw/edit?utm_content=DAGqttQqkpk&amp;utm_campaign=designshare&amp;utm_medium=link2&amp;utm_source=sharebutton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Link do vídeo do trabalho:</w:t>
      </w: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  </w:t>
      </w:r>
    </w:p>
    <w:p w:rsidR="00000000" w:rsidDel="00000000" w:rsidP="00000000" w:rsidRDefault="00000000" w:rsidRPr="00000000" w14:paraId="0000001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qttQqkpk/csejV_p5JKUjfVI-Ale3aw/edit?utm_content=DAGqttQqkp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