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Avaliação dos Riscos de Segurança e Privacidade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" w:right="0" w:hanging="393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consultor de segurança da equipe: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Milena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Lara Reis Ferreira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Levando em consideração os requisitos funcionais do sistema: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393" w:right="0" w:hanging="393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(Segurança) Quais partes do projeto requerem modelos de ameaças antes da liberação?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right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RF001 - Cadastro de parceiros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RF002 - Login de usuário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RF008 - Envio de formulário para doação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RF009 - Envio de formulário para recebimento de doação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RF010 - Acompanhamento de doações registradas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RF011 - Acompanhamento de solicitações registradas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RF012 - Gerenciamento de entrada de doações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RF013 - Gerenciamento de saída de doações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RF015 - Geração de relatórios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right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393" w:right="0" w:hanging="393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(Segurança) Quais partes do projeto requerem revisões do design de segurança antes da liberação?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right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Autenticação e autorização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line="264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RF002 - Login de usuário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Formulários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line="264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RF001 – Cadastro de parceiros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line="264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RF008 – Formulário de doação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line="264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RF009 – Formulário de solicitação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Gerenciamento de doações e solicitações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line="264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RF010 - Acompanhamento de doações registradas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line="264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RF011 - Acompanhamento de solicitações registradas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line="264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RF012 - Gerenciamento de entrada de doações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line="264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RF013 - Gerenciamento de saída de doações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Visualização e exportação de dados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line="264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RF006 - Visualização de tabela de doações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line="264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RF015 - Geração de relatórios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Notificações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line="264" w:lineRule="auto"/>
        <w:ind w:left="144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RF014 – Notificações de campanhas</w:t>
      </w:r>
    </w:p>
    <w:p w:rsidR="00000000" w:rsidDel="00000000" w:rsidP="00000000" w:rsidRDefault="00000000" w:rsidRPr="00000000" w14:paraId="00000026">
      <w:pPr>
        <w:spacing w:line="264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right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393" w:right="0" w:hanging="393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(Segurança) Quais partes do projeto (se houver) exigirão um teste de penetração por um grupo de comum acordo que seja externo à equipe do projeto?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393" w:righ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RF001 – Cadastro de parceiros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RF002 - Login de usuário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RF008 - Envio de formulário para doação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RF009 - Envio de formulário para recebimento de doação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RF012 - Gerenciamento de entrada de doações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RF013 - Gerenciamento de saída de doações</w:t>
      </w:r>
    </w:p>
    <w:p w:rsidR="00000000" w:rsidDel="00000000" w:rsidP="00000000" w:rsidRDefault="00000000" w:rsidRPr="00000000" w14:paraId="00000030">
      <w:pPr>
        <w:spacing w:line="264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393" w:right="0" w:hanging="393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(Segurança) Existem outros requisitos de teste ou de análise considerados necessários pelo consultor de segurança para mitigar os riscos de segurança?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64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Pensamos nestes testes adicionais, de acordo com as ameaças que devemos mitigar (Broken Access Control, Cryptographic Failures, Injection) e das práticas recomendadas no mercado: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Análise de Código Estático (Static Code Analysis / SAST):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análise automática do código-fonte para identificar falhas de segurança. Considerando que o nosso sistema será desenvolvido usando React.js no Front-ed e Spring Boot no Back-end, escolhemos a ferramenta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SonarQube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que faz a análise de ambos. Além disso, vamos usar a ferramenta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npm audit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antes dos deploys.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Análise de Dependências e Bibliotecas (SCA – Software Composition Analysis)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Iremos utilizar 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OWASP Dependency-Check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para verificar se as dependências instaladas no projeto possuem vulnerabilidades.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Testes de Autorização e Acesso (Access Control Tests)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faremos um mapeamento das permissões de acordo com o Role dos usuários (parceiro, colaborador e ainda público geral - não autenticado) e as funcionalidades do sistema, criaremos casos de teste e executaremos testes manuais (no navegador ou no Swagger).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Verificação do armazenamento seguro de senhas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Utilizar a ferramente de Debug do site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bcrypt-generator.com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para verificar se a criptografia está sendo implementada corretamente (com assinatura válida e tempo de expiração) - escolher alguns registros como amostra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Testes de injeção SQL: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utilizaremos a ferramenta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OWASP ZAP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right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393" w:right="0" w:hanging="393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(Segurança) Qual é o escopo específico dos requisitos de teste de fuzzing?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right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right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identificar falhas de segurança, estouros, travamentos e comportamentos inesperados causados por entradas malformadas, aleatórias ou maliciosas.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right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Formulários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line="264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RF001 – Cadastro de parceiros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line="264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RF008 – Formulário de doação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line="264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RF009 – Formulário de solicitação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Endpoints de PUT, POST e PATCH da API REST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Autenticação e sessão (RF002)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264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Parâmetros em URLs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right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393" w:right="0" w:hanging="393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(Privacidade) Qual é a Classificação de impacto de privacidade? A resposta para essa pergunta se baseia nas seguintes diretrizes: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502" w:right="0" w:hanging="262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P1 Risco de privacidade alto. O recurso, o produto ou o serviço armazena ou transfere PII (id), altera as configurações ou as associações de tipo de arquivo ou instala softwares.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502" w:right="0" w:hanging="262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P2 Risco de privacidade moderado. O único comportamento que afeta a privacidade no recurso, produto ou serviço é uma transferência de dados única, iniciada pelo usuário e anônima (por exemplo, o usuário clica em um link e o software vai para um site).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502" w:right="0" w:hanging="262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P3 Risco de privacidade baixo. Não há comportamento nesse recurso, produto ou serviço que afeta a privacidade. Nenhum dado anônimo ou pessoal é transferido, nenhum PII é armazenado na máquina, nenhuma configuração é alterada em nome do usuário e nenhum software é instalado.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right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64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P1 – Risco de privacidade alto - O sistema armazena e manipula dados pessoais identificáveis (PII) de parceiros e usuários da ONG, como nome, e-mail, telefone, histórico de doações e solicitações.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right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93" w:hanging="39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473" w:hanging="392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93" w:hanging="39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473" w:hanging="392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262" w:hanging="262"/>
      </w:pPr>
      <w:rPr>
        <w:smallCaps w:val="0"/>
        <w:strike w:val="0"/>
        <w:sz w:val="29"/>
        <w:szCs w:val="29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502" w:hanging="262"/>
      </w:pPr>
      <w:rPr>
        <w:smallCaps w:val="0"/>
        <w:strike w:val="0"/>
        <w:sz w:val="29"/>
        <w:szCs w:val="29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742" w:hanging="262"/>
      </w:pPr>
      <w:rPr>
        <w:smallCaps w:val="0"/>
        <w:strike w:val="0"/>
        <w:sz w:val="29"/>
        <w:szCs w:val="29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982" w:hanging="262"/>
      </w:pPr>
      <w:rPr>
        <w:smallCaps w:val="0"/>
        <w:strike w:val="0"/>
        <w:sz w:val="29"/>
        <w:szCs w:val="29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222" w:hanging="262"/>
      </w:pPr>
      <w:rPr>
        <w:smallCaps w:val="0"/>
        <w:strike w:val="0"/>
        <w:sz w:val="29"/>
        <w:szCs w:val="29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462" w:hanging="262.0000000000002"/>
      </w:pPr>
      <w:rPr>
        <w:smallCaps w:val="0"/>
        <w:strike w:val="0"/>
        <w:sz w:val="29"/>
        <w:szCs w:val="29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702" w:hanging="262"/>
      </w:pPr>
      <w:rPr>
        <w:smallCaps w:val="0"/>
        <w:strike w:val="0"/>
        <w:sz w:val="29"/>
        <w:szCs w:val="29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1942" w:hanging="262"/>
      </w:pPr>
      <w:rPr>
        <w:smallCaps w:val="0"/>
        <w:strike w:val="0"/>
        <w:sz w:val="29"/>
        <w:szCs w:val="29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2182" w:hanging="262"/>
      </w:pPr>
      <w:rPr>
        <w:smallCaps w:val="0"/>
        <w:strike w:val="0"/>
        <w:sz w:val="29"/>
        <w:szCs w:val="29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pt-PT"/>
      <w14:textFill>
        <w14:solidFill>
          <w14:srgbClr w14:val="000000"/>
        </w14:solidFill>
      </w14:textFill>
      <w14:textOutline>
        <w14:noFill/>
      </w14:textOutline>
    </w:rPr>
  </w:style>
  <w:style w:type="numbering" w:styleId="Numbered">
    <w:name w:val="Numbered"/>
    <w:pPr>
      <w:numPr>
        <w:numId w:val="1"/>
      </w:numPr>
    </w:pPr>
  </w:style>
  <w:style w:type="numbering" w:styleId="Bullet Big">
    <w:name w:val="Bullet Big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crypt-generator.com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5E93Da8TVvwP62qLc/DlxCRaQQ==">CgMxLjA4AGojChRzdWdnZXN0LmhmeHIwd2RuN3ByNBILTWlsZW5hIExhcmFyITFUY3F5dUFHM2R6UUVuNGtRWWRCRVBic3FVbDFrMFBzRg==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