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ACTIVIDAD 07</w:t>
        <w:br/>
      </w:r>
      <w:r>
        <w:rPr>
          <w:b/>
          <w:sz w:val="32"/>
        </w:rPr>
        <w:t>Análisis de Componentes Principales y Biplots con R</w:t>
      </w:r>
    </w:p>
    <w:p>
      <w:pPr>
        <w:jc w:val="center"/>
      </w:pPr>
      <w:r>
        <w:rPr>
          <w:b/>
        </w:rPr>
        <w:t>Aprendizaje Máquina no Supervisado</w:t>
        <w:br/>
      </w:r>
      <w:r>
        <w:t>Universidad Veracruzana — 7 de septiembre de 2026</w:t>
      </w:r>
    </w:p>
    <w:p>
      <w:pPr>
        <w:pStyle w:val="Heading1"/>
      </w:pPr>
      <w:r>
        <w:t>1. Objetivo</w:t>
      </w:r>
    </w:p>
    <w:p>
      <w:r>
        <w:t>Realizar y comparar dos representaciones biplot de los datos de CONAPO utilizados en la Actividad 4: una obtenida directamente mediante la Descomposición en Valores Singulares (DVS/SVD) y otra mediante PCA y fviz_pca_biplot.</w:t>
      </w:r>
    </w:p>
    <w:p>
      <w:pPr>
        <w:pStyle w:val="Heading1"/>
      </w:pPr>
      <w:r>
        <w:t>2. Datos y procedimiento</w:t>
      </w:r>
    </w:p>
    <w:p>
      <w:r>
        <w:t>Se utilizaron 2453 municipios y 9 indicadores socioeconómicos. Se trabajó con la hoja 'Estandarizados' del archivo de la Actividad 4, por lo que las variables se encuentran centradas y estandarizadas.</w:t>
      </w:r>
    </w:p>
    <w:p>
      <w:r>
        <w:t>Siguiendo la definición del PDF, se calculó la SVD X = UΛV′ y se construyeron G = √n·U[:,1:2] y H = (1/√n)·V[:,1:2]Λ₂. Las filas de G representan los municipios y las filas de H representan las variables.</w:t>
      </w:r>
    </w:p>
    <w:p>
      <w:pPr>
        <w:pStyle w:val="Heading1"/>
      </w:pPr>
      <w:r>
        <w:t>3. Biplot de CONAPO mediante la definición y funciones nativas de 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1953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plot_CONAPO_n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19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Biplot GH' construido a partir de la definición matemática indicada en la actividad.</w:t>
      </w:r>
    </w:p>
    <w:p>
      <w:pPr>
        <w:pStyle w:val="Heading1"/>
      </w:pPr>
      <w:r>
        <w:t>4. Biplot de CONAPO mediante PCA y fviz_pca_biplot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44533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plot_CONAPO_P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44533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Biplot de CONAPO construido con PCA y representación tipo fviz_pca_biplot.</w:t>
      </w:r>
    </w:p>
    <w:p>
      <w:pPr>
        <w:pStyle w:val="Heading1"/>
      </w:pPr>
      <w:r>
        <w:t>5. Resultados del ACP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Componente</w:t>
            </w:r>
          </w:p>
        </w:tc>
        <w:tc>
          <w:tcPr>
            <w:tcW w:type="dxa" w:w="3360"/>
          </w:tcPr>
          <w:p>
            <w:r>
              <w:t>Varianza explicada</w:t>
            </w:r>
          </w:p>
        </w:tc>
        <w:tc>
          <w:tcPr>
            <w:tcW w:type="dxa" w:w="3360"/>
          </w:tcPr>
          <w:p>
            <w:r>
              <w:t>Acumulada</w:t>
            </w:r>
          </w:p>
        </w:tc>
      </w:tr>
      <w:tr>
        <w:tc>
          <w:tcPr>
            <w:tcW w:type="dxa" w:w="3360"/>
          </w:tcPr>
          <w:p>
            <w:r>
              <w:t>PC1</w:t>
            </w:r>
          </w:p>
        </w:tc>
        <w:tc>
          <w:tcPr>
            <w:tcW w:type="dxa" w:w="3360"/>
          </w:tcPr>
          <w:p>
            <w:r>
              <w:t>53.95%</w:t>
            </w:r>
          </w:p>
        </w:tc>
        <w:tc>
          <w:tcPr>
            <w:tcW w:type="dxa" w:w="3360"/>
          </w:tcPr>
          <w:p>
            <w:r>
              <w:t>53.95%</w:t>
            </w:r>
          </w:p>
        </w:tc>
      </w:tr>
      <w:tr>
        <w:tc>
          <w:tcPr>
            <w:tcW w:type="dxa" w:w="3360"/>
          </w:tcPr>
          <w:p>
            <w:r>
              <w:t>PC2</w:t>
            </w:r>
          </w:p>
        </w:tc>
        <w:tc>
          <w:tcPr>
            <w:tcW w:type="dxa" w:w="3360"/>
          </w:tcPr>
          <w:p>
            <w:r>
              <w:t>11.51%</w:t>
            </w:r>
          </w:p>
        </w:tc>
        <w:tc>
          <w:tcPr>
            <w:tcW w:type="dxa" w:w="3360"/>
          </w:tcPr>
          <w:p>
            <w:r>
              <w:t>65.46%</w:t>
            </w:r>
          </w:p>
        </w:tc>
      </w:tr>
    </w:tbl>
    <w:p>
      <w:r>
        <w:t>PC1 explica 53.95% de la variabilidad y PC2 explica 11.51%. En conjunto, los dos primeros componentes concentran 65.46% de la variabilidad.</w:t>
      </w:r>
    </w:p>
    <w:p>
      <w:pPr>
        <w:pStyle w:val="Heading1"/>
      </w:pPr>
      <w:r>
        <w:t>6. Interpretación y comparación cualitativa</w:t>
      </w:r>
    </w:p>
    <w:p>
      <w:pPr>
        <w:pStyle w:val="ListBullet"/>
      </w:pPr>
      <w:r>
        <w:t>Los dos biplots presentan esencialmente la misma estructura porque ambos parten del mismo ACP y de los mismos datos estandarizados.</w:t>
      </w:r>
    </w:p>
    <w:p>
      <w:pPr>
        <w:pStyle w:val="ListBullet"/>
      </w:pPr>
      <w:r>
        <w:t>Los municipios cercanos entre sí tienen perfiles socioeconómicos similares.</w:t>
      </w:r>
    </w:p>
    <w:p>
      <w:pPr>
        <w:pStyle w:val="ListBullet"/>
      </w:pPr>
      <w:r>
        <w:t>Las flechas que apuntan en direcciones parecidas indican una relación positiva entre las variables; las opuestas indican una relación negativa y las aproximadamente ortogonales una relación débil o cercana a cero.</w:t>
      </w:r>
    </w:p>
    <w:p>
      <w:pPr>
        <w:pStyle w:val="ListBullet"/>
      </w:pPr>
      <w:r>
        <w:t>Las variables presentan una asociación importante con PC1, por lo que este componente resume la dimensión principal de las carencias socioeconómicas.</w:t>
      </w:r>
    </w:p>
    <w:p>
      <w:pPr>
        <w:pStyle w:val="ListBullet"/>
      </w:pPr>
      <w:r>
        <w:t>PC2 diferencia principalmente el bloque relacionado con electricidad y agua frente a indicadores como localidades pequeñas e ingreso de hasta dos salarios mínimos.</w:t>
      </w:r>
    </w:p>
    <w:p>
      <w:pPr>
        <w:pStyle w:val="ListBullet"/>
      </w:pPr>
      <w:r>
        <w:t>El biplot construido con SVD sigue directamente la definición matemática del documento; el de PCA/fviz_pca_biplot es más cómodo para interpretar porque incorpora cos2 de individuos y contribución de variables.</w:t>
      </w:r>
    </w:p>
    <w:p>
      <w:pPr>
        <w:pStyle w:val="Heading1"/>
      </w:pPr>
      <w:r>
        <w:t>7. Conclusión</w:t>
      </w:r>
    </w:p>
    <w:p>
      <w:r>
        <w:t>Los dos métodos producen una representación cualitativamente consistente de los datos de CONAPO. La solución bidimensional es útil porque los primeros dos componentes concentran aproximadamente 65.46% de la variabilidad. Por tanto, el biplot permite identificar simultáneamente la configuración de los municipios y la relación entre los nueve indicadores.</w:t>
      </w:r>
    </w:p>
    <w:p>
      <w:pPr>
        <w:pStyle w:val="Heading1"/>
      </w:pPr>
      <w:r>
        <w:t>8. Script R utilizado</w:t>
      </w:r>
    </w:p>
    <w:p>
      <w:r>
        <w:t>El archivo Actividad07_completa.R contiene el código de las partes 1 y 2 de Johnson &amp; Wichern, así como las partes 3 y 4 con los datos de CONAPO y la comparación solicitada.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