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170e7c4ee41749cbd9441e2517ab4561181fc05"/>
    <w:p>
      <w:pPr>
        <w:pStyle w:val="Heading1"/>
      </w:pPr>
      <w:r>
        <w:t xml:space="preserve">DEF-WEB-000 – Estándares de Desarrollo Frontend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ConstructFlow.Web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DEF-WEB-000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Estándares de Desarrollo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Julio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ConstructFlow Development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</w:tr>
    </w:tbl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Establecer los lineamientos técnicos, funcionales, visuales y de desarrollo que deberán seguir todos los módulos del proyecto ConstructFlow.Web.</w:t>
      </w:r>
    </w:p>
    <w:p>
      <w:pPr>
        <w:pStyle w:val="BodyText"/>
      </w:pPr>
      <w:r>
        <w:t xml:space="preserve">Este documento será la referencia oficial para desarrolladores, diseñadores UX/UI y responsables de mantenimiento del sistema.</w:t>
      </w:r>
    </w:p>
    <w:p>
      <w:pPr>
        <w:pStyle w:val="BodyText"/>
      </w:pPr>
      <w:r>
        <w:t xml:space="preserve">Todos los desarrollos deberán cumplir obligatoriamente con los estándares aquí definidos.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para todas las pantallas, componentes reutilizables, formularios, tablas, dashboard, reportes, catálogos, configuración y módulos futuros.</w:t>
      </w:r>
    </w:p>
    <w:bookmarkEnd w:id="21"/>
    <w:bookmarkStart w:id="22" w:name="arquitectura-general"/>
    <w:p>
      <w:pPr>
        <w:pStyle w:val="Heading2"/>
      </w:pPr>
      <w:r>
        <w:t xml:space="preserve">3. Arquitectura General</w:t>
      </w:r>
    </w:p>
    <w:p>
      <w:pPr>
        <w:pStyle w:val="SourceCode"/>
      </w:pPr>
      <w:r>
        <w:rPr>
          <w:rStyle w:val="VerbatimChar"/>
        </w:rPr>
        <w:t xml:space="preserve">ConstructFlow.Web/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└── Helpers/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       ├── css/</w:t>
      </w:r>
      <w:r>
        <w:br/>
      </w:r>
      <w:r>
        <w:rPr>
          <w:rStyle w:val="VerbatimChar"/>
        </w:rPr>
        <w:t xml:space="preserve">│       ├── js/</w:t>
      </w:r>
      <w:r>
        <w:br/>
      </w:r>
      <w:r>
        <w:rPr>
          <w:rStyle w:val="VerbatimChar"/>
        </w:rPr>
        <w:t xml:space="preserve">│       ├── img/</w:t>
      </w:r>
      <w:r>
        <w:br/>
      </w:r>
      <w:r>
        <w:rPr>
          <w:rStyle w:val="VerbatimChar"/>
        </w:rPr>
        <w:t xml:space="preserve">│       └── fonts/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vendor/</w:t>
      </w:r>
      <w:r>
        <w:br/>
      </w:r>
      <w:r>
        <w:rPr>
          <w:rStyle w:val="VerbatimChar"/>
        </w:rPr>
        <w:t xml:space="preserve">└── PR's/</w:t>
      </w:r>
    </w:p>
    <w:bookmarkEnd w:id="22"/>
    <w:bookmarkStart w:id="23" w:name="filosofía-de-desarrollo"/>
    <w:p>
      <w:pPr>
        <w:pStyle w:val="Heading2"/>
      </w:pPr>
      <w:r>
        <w:t xml:space="preserve">4. Filosofía de Desarrollo</w:t>
      </w:r>
    </w:p>
    <w:p>
      <w:pPr>
        <w:pStyle w:val="Compact"/>
        <w:numPr>
          <w:ilvl w:val="0"/>
          <w:numId w:val="1001"/>
        </w:numPr>
      </w:pPr>
      <w:r>
        <w:t xml:space="preserve">Modular</w:t>
      </w:r>
    </w:p>
    <w:p>
      <w:pPr>
        <w:pStyle w:val="Compact"/>
        <w:numPr>
          <w:ilvl w:val="0"/>
          <w:numId w:val="1001"/>
        </w:numPr>
      </w:pPr>
      <w:r>
        <w:t xml:space="preserve">Escalable</w:t>
      </w:r>
    </w:p>
    <w:p>
      <w:pPr>
        <w:pStyle w:val="Compact"/>
        <w:numPr>
          <w:ilvl w:val="0"/>
          <w:numId w:val="1001"/>
        </w:numPr>
      </w:pPr>
      <w:r>
        <w:t xml:space="preserve">Reutilizable</w:t>
      </w:r>
    </w:p>
    <w:p>
      <w:pPr>
        <w:pStyle w:val="Compact"/>
        <w:numPr>
          <w:ilvl w:val="0"/>
          <w:numId w:val="1001"/>
        </w:numPr>
      </w:pPr>
      <w:r>
        <w:t xml:space="preserve">Responsive</w:t>
      </w:r>
    </w:p>
    <w:p>
      <w:pPr>
        <w:pStyle w:val="Compact"/>
        <w:numPr>
          <w:ilvl w:val="0"/>
          <w:numId w:val="1001"/>
        </w:numPr>
      </w:pPr>
      <w:r>
        <w:t xml:space="preserve">Seguro</w:t>
      </w:r>
    </w:p>
    <w:p>
      <w:pPr>
        <w:pStyle w:val="Compact"/>
        <w:numPr>
          <w:ilvl w:val="0"/>
          <w:numId w:val="1001"/>
        </w:numPr>
      </w:pPr>
      <w:r>
        <w:t xml:space="preserve">Fácil de mantener</w:t>
      </w:r>
    </w:p>
    <w:p>
      <w:pPr>
        <w:pStyle w:val="FirstParagraph"/>
      </w:pPr>
      <w:r>
        <w:t xml:space="preserve">No se permitirá código duplicado.</w:t>
      </w:r>
    </w:p>
    <w:bookmarkEnd w:id="23"/>
    <w:bookmarkStart w:id="24" w:name="tecnologías"/>
    <w:p>
      <w:pPr>
        <w:pStyle w:val="Heading2"/>
      </w:pPr>
      <w:r>
        <w:t xml:space="preserve">5. Tecnologías</w:t>
      </w:r>
    </w:p>
    <w:p>
      <w:pPr>
        <w:pStyle w:val="Compact"/>
        <w:numPr>
          <w:ilvl w:val="0"/>
          <w:numId w:val="1002"/>
        </w:numPr>
      </w:pPr>
      <w:r>
        <w:t xml:space="preserve">PHP 8.2+</w:t>
      </w:r>
    </w:p>
    <w:p>
      <w:pPr>
        <w:pStyle w:val="Compact"/>
        <w:numPr>
          <w:ilvl w:val="0"/>
          <w:numId w:val="1002"/>
        </w:numPr>
      </w:pPr>
      <w:r>
        <w:t xml:space="preserve">HTML5</w:t>
      </w:r>
    </w:p>
    <w:p>
      <w:pPr>
        <w:pStyle w:val="Compact"/>
        <w:numPr>
          <w:ilvl w:val="0"/>
          <w:numId w:val="1002"/>
        </w:numPr>
      </w:pPr>
      <w:r>
        <w:t xml:space="preserve">CSS3</w:t>
      </w:r>
    </w:p>
    <w:p>
      <w:pPr>
        <w:pStyle w:val="Compact"/>
        <w:numPr>
          <w:ilvl w:val="0"/>
          <w:numId w:val="1002"/>
        </w:numPr>
      </w:pPr>
      <w:r>
        <w:t xml:space="preserve">JavaScript ES6</w:t>
      </w:r>
    </w:p>
    <w:p>
      <w:pPr>
        <w:pStyle w:val="Compact"/>
        <w:numPr>
          <w:ilvl w:val="0"/>
          <w:numId w:val="1002"/>
        </w:numPr>
      </w:pPr>
      <w:r>
        <w:t xml:space="preserve">Bootstrap 5.3</w:t>
      </w:r>
    </w:p>
    <w:p>
      <w:pPr>
        <w:pStyle w:val="Compact"/>
        <w:numPr>
          <w:ilvl w:val="0"/>
          <w:numId w:val="1002"/>
        </w:numPr>
      </w:pPr>
      <w:r>
        <w:t xml:space="preserve">Bootstrap Icons</w:t>
      </w:r>
    </w:p>
    <w:p>
      <w:pPr>
        <w:pStyle w:val="Compact"/>
        <w:numPr>
          <w:ilvl w:val="0"/>
          <w:numId w:val="1002"/>
        </w:numPr>
      </w:pPr>
      <w:r>
        <w:t xml:space="preserve">SweetAlert2</w:t>
      </w:r>
    </w:p>
    <w:p>
      <w:pPr>
        <w:pStyle w:val="Compact"/>
        <w:numPr>
          <w:ilvl w:val="0"/>
          <w:numId w:val="1002"/>
        </w:numPr>
      </w:pPr>
      <w:r>
        <w:t xml:space="preserve">DataTables</w:t>
      </w:r>
    </w:p>
    <w:p>
      <w:pPr>
        <w:pStyle w:val="Compact"/>
        <w:numPr>
          <w:ilvl w:val="0"/>
          <w:numId w:val="1002"/>
        </w:numPr>
      </w:pPr>
      <w:r>
        <w:t xml:space="preserve">Chart.js</w:t>
      </w:r>
    </w:p>
    <w:p>
      <w:pPr>
        <w:pStyle w:val="Compact"/>
        <w:numPr>
          <w:ilvl w:val="0"/>
          <w:numId w:val="1002"/>
        </w:numPr>
      </w:pPr>
      <w:r>
        <w:t xml:space="preserve">Select2</w:t>
      </w:r>
    </w:p>
    <w:p>
      <w:pPr>
        <w:pStyle w:val="Compact"/>
        <w:numPr>
          <w:ilvl w:val="0"/>
          <w:numId w:val="1002"/>
        </w:numPr>
      </w:pPr>
      <w:r>
        <w:t xml:space="preserve">Axios</w:t>
      </w:r>
    </w:p>
    <w:bookmarkEnd w:id="24"/>
    <w:bookmarkStart w:id="28" w:name="organización-de-archivos"/>
    <w:p>
      <w:pPr>
        <w:pStyle w:val="Heading2"/>
      </w:pPr>
      <w:r>
        <w:t xml:space="preserve">6. Organización de Archivos</w:t>
      </w:r>
    </w:p>
    <w:bookmarkStart w:id="25" w:name="css"/>
    <w:p>
      <w:pPr>
        <w:pStyle w:val="Heading3"/>
      </w:pPr>
      <w:r>
        <w:t xml:space="preserve">CSS</w:t>
      </w:r>
    </w:p>
    <w:p>
      <w:pPr>
        <w:pStyle w:val="Compact"/>
        <w:numPr>
          <w:ilvl w:val="0"/>
          <w:numId w:val="1003"/>
        </w:numPr>
      </w:pPr>
      <w:r>
        <w:t xml:space="preserve">constructflow.css</w:t>
      </w:r>
    </w:p>
    <w:p>
      <w:pPr>
        <w:pStyle w:val="Compact"/>
        <w:numPr>
          <w:ilvl w:val="0"/>
          <w:numId w:val="1003"/>
        </w:numPr>
      </w:pPr>
      <w:r>
        <w:t xml:space="preserve">login.css</w:t>
      </w:r>
    </w:p>
    <w:p>
      <w:pPr>
        <w:pStyle w:val="Compact"/>
        <w:numPr>
          <w:ilvl w:val="0"/>
          <w:numId w:val="1003"/>
        </w:numPr>
      </w:pPr>
      <w:r>
        <w:t xml:space="preserve">layout.css</w:t>
      </w:r>
    </w:p>
    <w:p>
      <w:pPr>
        <w:pStyle w:val="Compact"/>
        <w:numPr>
          <w:ilvl w:val="0"/>
          <w:numId w:val="1003"/>
        </w:numPr>
      </w:pPr>
      <w:r>
        <w:t xml:space="preserve">forms.css</w:t>
      </w:r>
    </w:p>
    <w:p>
      <w:pPr>
        <w:pStyle w:val="Compact"/>
        <w:numPr>
          <w:ilvl w:val="0"/>
          <w:numId w:val="1003"/>
        </w:numPr>
      </w:pPr>
      <w:r>
        <w:t xml:space="preserve">datatable.css</w:t>
      </w:r>
    </w:p>
    <w:p>
      <w:pPr>
        <w:pStyle w:val="Compact"/>
        <w:numPr>
          <w:ilvl w:val="0"/>
          <w:numId w:val="1003"/>
        </w:numPr>
      </w:pPr>
      <w:r>
        <w:t xml:space="preserve">responsive.css</w:t>
      </w:r>
    </w:p>
    <w:bookmarkEnd w:id="25"/>
    <w:bookmarkStart w:id="26" w:name="javascript"/>
    <w:p>
      <w:pPr>
        <w:pStyle w:val="Heading3"/>
      </w:pPr>
      <w:r>
        <w:t xml:space="preserve">JavaScript</w:t>
      </w:r>
    </w:p>
    <w:p>
      <w:pPr>
        <w:pStyle w:val="Compact"/>
        <w:numPr>
          <w:ilvl w:val="0"/>
          <w:numId w:val="1004"/>
        </w:numPr>
      </w:pPr>
      <w:r>
        <w:t xml:space="preserve">app.js</w:t>
      </w:r>
    </w:p>
    <w:p>
      <w:pPr>
        <w:pStyle w:val="Compact"/>
        <w:numPr>
          <w:ilvl w:val="0"/>
          <w:numId w:val="1004"/>
        </w:numPr>
      </w:pPr>
      <w:r>
        <w:t xml:space="preserve">login.js</w:t>
      </w:r>
    </w:p>
    <w:p>
      <w:pPr>
        <w:pStyle w:val="Compact"/>
        <w:numPr>
          <w:ilvl w:val="0"/>
          <w:numId w:val="1004"/>
        </w:numPr>
      </w:pPr>
      <w:r>
        <w:t xml:space="preserve">menu.js</w:t>
      </w:r>
    </w:p>
    <w:p>
      <w:pPr>
        <w:pStyle w:val="Compact"/>
        <w:numPr>
          <w:ilvl w:val="0"/>
          <w:numId w:val="1004"/>
        </w:numPr>
      </w:pPr>
      <w:r>
        <w:t xml:space="preserve">dashboard.js</w:t>
      </w:r>
    </w:p>
    <w:p>
      <w:pPr>
        <w:pStyle w:val="Compact"/>
        <w:numPr>
          <w:ilvl w:val="0"/>
          <w:numId w:val="1004"/>
        </w:numPr>
      </w:pPr>
      <w:r>
        <w:t xml:space="preserve">helpers.js</w:t>
      </w:r>
    </w:p>
    <w:p>
      <w:pPr>
        <w:pStyle w:val="Compact"/>
        <w:numPr>
          <w:ilvl w:val="0"/>
          <w:numId w:val="1004"/>
        </w:numPr>
      </w:pPr>
      <w:r>
        <w:t xml:space="preserve">datatable.js</w:t>
      </w:r>
    </w:p>
    <w:bookmarkEnd w:id="26"/>
    <w:bookmarkStart w:id="27" w:name="imágenes"/>
    <w:p>
      <w:pPr>
        <w:pStyle w:val="Heading3"/>
      </w:pPr>
      <w:r>
        <w:t xml:space="preserve">Imágenes</w:t>
      </w:r>
    </w:p>
    <w:p>
      <w:pPr>
        <w:pStyle w:val="Compact"/>
        <w:numPr>
          <w:ilvl w:val="0"/>
          <w:numId w:val="1005"/>
        </w:numPr>
      </w:pPr>
      <w:r>
        <w:t xml:space="preserve">logos</w:t>
      </w:r>
    </w:p>
    <w:p>
      <w:pPr>
        <w:pStyle w:val="Compact"/>
        <w:numPr>
          <w:ilvl w:val="0"/>
          <w:numId w:val="1005"/>
        </w:numPr>
      </w:pPr>
      <w:r>
        <w:t xml:space="preserve">backgrounds</w:t>
      </w:r>
    </w:p>
    <w:p>
      <w:pPr>
        <w:pStyle w:val="Compact"/>
        <w:numPr>
          <w:ilvl w:val="0"/>
          <w:numId w:val="1005"/>
        </w:numPr>
      </w:pPr>
      <w:r>
        <w:t xml:space="preserve">icons</w:t>
      </w:r>
    </w:p>
    <w:p>
      <w:pPr>
        <w:pStyle w:val="Compact"/>
        <w:numPr>
          <w:ilvl w:val="0"/>
          <w:numId w:val="1005"/>
        </w:numPr>
      </w:pPr>
      <w:r>
        <w:t xml:space="preserve">avatars</w:t>
      </w:r>
    </w:p>
    <w:p>
      <w:pPr>
        <w:pStyle w:val="Compact"/>
        <w:numPr>
          <w:ilvl w:val="0"/>
          <w:numId w:val="1005"/>
        </w:numPr>
      </w:pPr>
      <w:r>
        <w:t xml:space="preserve">illustrations</w:t>
      </w:r>
    </w:p>
    <w:bookmarkEnd w:id="27"/>
    <w:bookmarkEnd w:id="28"/>
    <w:bookmarkStart w:id="29" w:name="convenciones"/>
    <w:p>
      <w:pPr>
        <w:pStyle w:val="Heading2"/>
      </w:pPr>
      <w:r>
        <w:t xml:space="preserve">7. Convenciones</w:t>
      </w:r>
    </w:p>
    <w:p>
      <w:pPr>
        <w:pStyle w:val="Compact"/>
        <w:numPr>
          <w:ilvl w:val="0"/>
          <w:numId w:val="1006"/>
        </w:numPr>
      </w:pPr>
      <w:r>
        <w:t xml:space="preserve">CSS: kebab-case</w:t>
      </w:r>
    </w:p>
    <w:p>
      <w:pPr>
        <w:pStyle w:val="Compact"/>
        <w:numPr>
          <w:ilvl w:val="0"/>
          <w:numId w:val="1006"/>
        </w:numPr>
      </w:pPr>
      <w:r>
        <w:t xml:space="preserve">JavaScript: camelCase</w:t>
      </w:r>
    </w:p>
    <w:p>
      <w:pPr>
        <w:pStyle w:val="Compact"/>
        <w:numPr>
          <w:ilvl w:val="0"/>
          <w:numId w:val="1006"/>
        </w:numPr>
      </w:pPr>
      <w:r>
        <w:t xml:space="preserve">PHP: PascalCase</w:t>
      </w:r>
    </w:p>
    <w:bookmarkEnd w:id="29"/>
    <w:bookmarkStart w:id="30" w:name="diseño-visual"/>
    <w:p>
      <w:pPr>
        <w:pStyle w:val="Heading2"/>
      </w:pPr>
      <w:r>
        <w:t xml:space="preserve">8. Diseño Visual</w:t>
      </w:r>
    </w:p>
    <w:p>
      <w:pPr>
        <w:pStyle w:val="FirstParagraph"/>
      </w:pPr>
      <w:r>
        <w:t xml:space="preserve">Inspiración:</w:t>
      </w:r>
    </w:p>
    <w:p>
      <w:pPr>
        <w:pStyle w:val="Compact"/>
        <w:numPr>
          <w:ilvl w:val="0"/>
          <w:numId w:val="1007"/>
        </w:numPr>
      </w:pPr>
      <w:r>
        <w:t xml:space="preserve">Microsoft Dynamics 365</w:t>
      </w:r>
    </w:p>
    <w:p>
      <w:pPr>
        <w:pStyle w:val="Compact"/>
        <w:numPr>
          <w:ilvl w:val="0"/>
          <w:numId w:val="1007"/>
        </w:numPr>
      </w:pPr>
      <w:r>
        <w:t xml:space="preserve">Oracle NetSuite</w:t>
      </w:r>
    </w:p>
    <w:p>
      <w:pPr>
        <w:pStyle w:val="Compact"/>
        <w:numPr>
          <w:ilvl w:val="0"/>
          <w:numId w:val="1007"/>
        </w:numPr>
      </w:pPr>
      <w:r>
        <w:t xml:space="preserve">Odoo</w:t>
      </w:r>
    </w:p>
    <w:p>
      <w:pPr>
        <w:pStyle w:val="Compact"/>
        <w:numPr>
          <w:ilvl w:val="0"/>
          <w:numId w:val="1007"/>
        </w:numPr>
      </w:pPr>
      <w:r>
        <w:t xml:space="preserve">Monday.com</w:t>
      </w:r>
    </w:p>
    <w:bookmarkEnd w:id="30"/>
    <w:bookmarkStart w:id="31" w:name="paleta-corporativa"/>
    <w:p>
      <w:pPr>
        <w:pStyle w:val="Heading2"/>
      </w:pPr>
      <w:r>
        <w:t xml:space="preserve">9. Paleta Corporativa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#0B1F47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#F97316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#EF4444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#F5F7FA</w:t>
            </w:r>
          </w:p>
        </w:tc>
      </w:tr>
    </w:tbl>
    <w:bookmarkEnd w:id="31"/>
    <w:bookmarkStart w:id="32" w:name="tipografía"/>
    <w:p>
      <w:pPr>
        <w:pStyle w:val="Heading2"/>
      </w:pPr>
      <w:r>
        <w:t xml:space="preserve">10. Tipografía</w:t>
      </w:r>
    </w:p>
    <w:p>
      <w:pPr>
        <w:pStyle w:val="Compact"/>
        <w:numPr>
          <w:ilvl w:val="0"/>
          <w:numId w:val="1008"/>
        </w:numPr>
      </w:pPr>
      <w:r>
        <w:t xml:space="preserve">Inter</w:t>
      </w:r>
    </w:p>
    <w:p>
      <w:pPr>
        <w:pStyle w:val="Compact"/>
        <w:numPr>
          <w:ilvl w:val="0"/>
          <w:numId w:val="1008"/>
        </w:numPr>
      </w:pPr>
      <w:r>
        <w:t xml:space="preserve">Poppins</w:t>
      </w:r>
    </w:p>
    <w:bookmarkEnd w:id="32"/>
    <w:bookmarkStart w:id="33" w:name="iconografía"/>
    <w:p>
      <w:pPr>
        <w:pStyle w:val="Heading2"/>
      </w:pPr>
      <w:r>
        <w:t xml:space="preserve">11. Iconografía</w:t>
      </w:r>
    </w:p>
    <w:p>
      <w:pPr>
        <w:pStyle w:val="FirstParagraph"/>
      </w:pPr>
      <w:r>
        <w:t xml:space="preserve">Bootstrap Icons.</w:t>
      </w:r>
    </w:p>
    <w:bookmarkEnd w:id="33"/>
    <w:bookmarkStart w:id="34" w:name="layout"/>
    <w:p>
      <w:pPr>
        <w:pStyle w:val="Heading2"/>
      </w:pPr>
      <w:r>
        <w:t xml:space="preserve">12. Layout</w:t>
      </w:r>
    </w:p>
    <w:p>
      <w:pPr>
        <w:pStyle w:val="FirstParagraph"/>
      </w:pPr>
      <w:r>
        <w:t xml:space="preserve">Header → Menú → Breadcrumb → Barra de acciones → Contenido → Footer.</w:t>
      </w:r>
    </w:p>
    <w:bookmarkEnd w:id="34"/>
    <w:bookmarkStart w:id="35" w:name="responsive"/>
    <w:p>
      <w:pPr>
        <w:pStyle w:val="Heading2"/>
      </w:pPr>
      <w:r>
        <w:t xml:space="preserve">13. Responsive</w:t>
      </w:r>
    </w:p>
    <w:p>
      <w:pPr>
        <w:pStyle w:val="Compact"/>
        <w:numPr>
          <w:ilvl w:val="0"/>
          <w:numId w:val="1009"/>
        </w:numPr>
      </w:pPr>
      <w:r>
        <w:t xml:space="preserve">Smartphone &lt;768 px</w:t>
      </w:r>
    </w:p>
    <w:p>
      <w:pPr>
        <w:pStyle w:val="Compact"/>
        <w:numPr>
          <w:ilvl w:val="0"/>
          <w:numId w:val="1009"/>
        </w:numPr>
      </w:pPr>
      <w:r>
        <w:t xml:space="preserve">Tablet 768–991 px</w:t>
      </w:r>
    </w:p>
    <w:p>
      <w:pPr>
        <w:pStyle w:val="Compact"/>
        <w:numPr>
          <w:ilvl w:val="0"/>
          <w:numId w:val="1009"/>
        </w:numPr>
      </w:pPr>
      <w:r>
        <w:t xml:space="preserve">Laptop 992–1399 px</w:t>
      </w:r>
    </w:p>
    <w:p>
      <w:pPr>
        <w:pStyle w:val="Compact"/>
        <w:numPr>
          <w:ilvl w:val="0"/>
          <w:numId w:val="1009"/>
        </w:numPr>
      </w:pPr>
      <w:r>
        <w:t xml:space="preserve">Desktop ≥1400 px</w:t>
      </w:r>
    </w:p>
    <w:bookmarkEnd w:id="35"/>
    <w:bookmarkStart w:id="36" w:name="componentes"/>
    <w:p>
      <w:pPr>
        <w:pStyle w:val="Heading2"/>
      </w:pPr>
      <w:r>
        <w:t xml:space="preserve">14. Componentes</w:t>
      </w:r>
    </w:p>
    <w:p>
      <w:pPr>
        <w:pStyle w:val="FirstParagraph"/>
      </w:pPr>
      <w:r>
        <w:t xml:space="preserve">Botones, inputs, selects, cards, tablas, modales, alertas, toast, loader, breadcrumb y paginación.</w:t>
      </w:r>
    </w:p>
    <w:bookmarkEnd w:id="36"/>
    <w:bookmarkStart w:id="37" w:name="formularios"/>
    <w:p>
      <w:pPr>
        <w:pStyle w:val="Heading2"/>
      </w:pPr>
      <w:r>
        <w:t xml:space="preserve">15. Formularios</w:t>
      </w:r>
    </w:p>
    <w:p>
      <w:pPr>
        <w:pStyle w:val="Compact"/>
        <w:numPr>
          <w:ilvl w:val="0"/>
          <w:numId w:val="1010"/>
        </w:numPr>
      </w:pPr>
      <w:r>
        <w:t xml:space="preserve">Etiqueta superior</w:t>
      </w:r>
    </w:p>
    <w:p>
      <w:pPr>
        <w:pStyle w:val="Compact"/>
        <w:numPr>
          <w:ilvl w:val="0"/>
          <w:numId w:val="1010"/>
        </w:numPr>
      </w:pPr>
      <w:r>
        <w:t xml:space="preserve">Dos columnas en escritorio</w:t>
      </w:r>
    </w:p>
    <w:p>
      <w:pPr>
        <w:pStyle w:val="Compact"/>
        <w:numPr>
          <w:ilvl w:val="0"/>
          <w:numId w:val="1010"/>
        </w:numPr>
      </w:pPr>
      <w:r>
        <w:t xml:space="preserve">Una columna en móvil</w:t>
      </w:r>
    </w:p>
    <w:p>
      <w:pPr>
        <w:pStyle w:val="Compact"/>
        <w:numPr>
          <w:ilvl w:val="0"/>
          <w:numId w:val="1010"/>
        </w:numPr>
      </w:pPr>
      <w:r>
        <w:t xml:space="preserve">Validación inmediata</w:t>
      </w:r>
    </w:p>
    <w:bookmarkEnd w:id="37"/>
    <w:bookmarkStart w:id="38" w:name="tablas"/>
    <w:p>
      <w:pPr>
        <w:pStyle w:val="Heading2"/>
      </w:pPr>
      <w:r>
        <w:t xml:space="preserve">16. Tablas</w:t>
      </w:r>
    </w:p>
    <w:p>
      <w:pPr>
        <w:pStyle w:val="FirstParagraph"/>
      </w:pPr>
      <w:r>
        <w:t xml:space="preserve">DataTables con búsqueda, ordenamiento, paginación y exportación.</w:t>
      </w:r>
    </w:p>
    <w:bookmarkEnd w:id="38"/>
    <w:bookmarkStart w:id="39" w:name="botones"/>
    <w:p>
      <w:pPr>
        <w:pStyle w:val="Heading2"/>
      </w:pPr>
      <w:r>
        <w:t xml:space="preserve">17. Botones</w:t>
      </w:r>
    </w:p>
    <w:p>
      <w:pPr>
        <w:pStyle w:val="FirstParagraph"/>
      </w:pPr>
      <w:r>
        <w:t xml:space="preserve">Nuevo (Azul), Guardar (Verde), Editar (Azul), Eliminar (Rojo), Cancelar (Gris).</w:t>
      </w:r>
    </w:p>
    <w:bookmarkEnd w:id="39"/>
    <w:bookmarkStart w:id="40" w:name="modales"/>
    <w:p>
      <w:pPr>
        <w:pStyle w:val="Heading2"/>
      </w:pPr>
      <w:r>
        <w:t xml:space="preserve">18. Modales</w:t>
      </w:r>
    </w:p>
    <w:p>
      <w:pPr>
        <w:pStyle w:val="FirstParagraph"/>
      </w:pPr>
      <w:r>
        <w:t xml:space="preserve">Tamaño Large por defecto.</w:t>
      </w:r>
    </w:p>
    <w:bookmarkEnd w:id="40"/>
    <w:bookmarkStart w:id="41" w:name="mensajes"/>
    <w:p>
      <w:pPr>
        <w:pStyle w:val="Heading2"/>
      </w:pPr>
      <w:r>
        <w:t xml:space="preserve">19. Mensajes</w:t>
      </w:r>
    </w:p>
    <w:p>
      <w:pPr>
        <w:pStyle w:val="FirstParagraph"/>
      </w:pPr>
      <w:r>
        <w:t xml:space="preserve">SweetAlert2 como estándar.</w:t>
      </w:r>
    </w:p>
    <w:bookmarkEnd w:id="41"/>
    <w:bookmarkStart w:id="42" w:name="seguridad"/>
    <w:p>
      <w:pPr>
        <w:pStyle w:val="Heading2"/>
      </w:pPr>
      <w:r>
        <w:t xml:space="preserve">20. Seguridad</w:t>
      </w:r>
    </w:p>
    <w:p>
      <w:pPr>
        <w:pStyle w:val="FirstParagraph"/>
      </w:pPr>
      <w:r>
        <w:t xml:space="preserve">JWT administrado por el frontend. Nunca almacenar contraseñas.</w:t>
      </w:r>
    </w:p>
    <w:bookmarkEnd w:id="42"/>
    <w:bookmarkStart w:id="43" w:name="integración-api"/>
    <w:p>
      <w:pPr>
        <w:pStyle w:val="Heading2"/>
      </w:pPr>
      <w:r>
        <w:t xml:space="preserve">21. Integración API</w:t>
      </w:r>
    </w:p>
    <w:p>
      <w:pPr>
        <w:pStyle w:val="FirstParagraph"/>
      </w:pPr>
      <w:r>
        <w:t xml:space="preserve">Formato estándar: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rendimiento"/>
    <w:p>
      <w:pPr>
        <w:pStyle w:val="Heading2"/>
      </w:pPr>
      <w:r>
        <w:t xml:space="preserve">22. Rendimiento</w:t>
      </w:r>
    </w:p>
    <w:p>
      <w:pPr>
        <w:pStyle w:val="FirstParagraph"/>
      </w:pPr>
      <w:r>
        <w:t xml:space="preserve">Lazy Loading, WebP, minificación y caché.</w:t>
      </w:r>
    </w:p>
    <w:bookmarkEnd w:id="44"/>
    <w:bookmarkStart w:id="45" w:name="accesibilidad"/>
    <w:p>
      <w:pPr>
        <w:pStyle w:val="Heading2"/>
      </w:pPr>
      <w:r>
        <w:t xml:space="preserve">23. Accesibilidad</w:t>
      </w:r>
    </w:p>
    <w:p>
      <w:pPr>
        <w:pStyle w:val="FirstParagraph"/>
      </w:pPr>
      <w:r>
        <w:t xml:space="preserve">WCAG 2.1 AA.</w:t>
      </w:r>
    </w:p>
    <w:bookmarkEnd w:id="45"/>
    <w:bookmarkStart w:id="46" w:name="ux"/>
    <w:p>
      <w:pPr>
        <w:pStyle w:val="Heading2"/>
      </w:pPr>
      <w:r>
        <w:t xml:space="preserve">24. UX</w:t>
      </w:r>
    </w:p>
    <w:p>
      <w:pPr>
        <w:pStyle w:val="FirstParagraph"/>
      </w:pPr>
      <w:r>
        <w:t xml:space="preserve">Reducir clics, consistencia visual y mensajes claros.</w:t>
      </w:r>
    </w:p>
    <w:bookmarkEnd w:id="46"/>
    <w:bookmarkStart w:id="47" w:name="convenciones-1"/>
    <w:p>
      <w:pPr>
        <w:pStyle w:val="Heading2"/>
      </w:pPr>
      <w:r>
        <w:t xml:space="preserve">25. Convenciones</w:t>
      </w:r>
    </w:p>
    <w:p>
      <w:pPr>
        <w:pStyle w:val="FirstParagraph"/>
      </w:pPr>
      <w:r>
        <w:t xml:space="preserve">Documentar, reutilizar componentes y evitar duplicidad.</w:t>
      </w:r>
    </w:p>
    <w:bookmarkEnd w:id="47"/>
    <w:bookmarkStart w:id="48" w:name="código"/>
    <w:p>
      <w:pPr>
        <w:pStyle w:val="Heading2"/>
      </w:pPr>
      <w:r>
        <w:t xml:space="preserve">26. Código</w:t>
      </w:r>
    </w:p>
    <w:p>
      <w:pPr>
        <w:pStyle w:val="FirstParagraph"/>
      </w:pPr>
      <w:r>
        <w:t xml:space="preserve">PHP PSR-12, JavaScript ES6+, variables CSS y sin estilos inline.</w:t>
      </w:r>
    </w:p>
    <w:bookmarkEnd w:id="48"/>
    <w:bookmarkStart w:id="49" w:name="versiones"/>
    <w:p>
      <w:pPr>
        <w:pStyle w:val="Heading2"/>
      </w:pPr>
      <w:r>
        <w:t xml:space="preserve">27. Versiones</w:t>
      </w:r>
    </w:p>
    <w:p>
      <w:pPr>
        <w:pStyle w:val="FirstParagraph"/>
      </w:pPr>
      <w:r>
        <w:t xml:space="preserve">Todo cambio deberá documentarse mediante un DEF-WEB.</w:t>
      </w:r>
    </w:p>
    <w:bookmarkEnd w:id="49"/>
    <w:bookmarkStart w:id="50" w:name="calidad"/>
    <w:p>
      <w:pPr>
        <w:pStyle w:val="Heading2"/>
      </w:pPr>
      <w:r>
        <w:t xml:space="preserve">28. Calidad</w:t>
      </w:r>
    </w:p>
    <w:p>
      <w:pPr>
        <w:pStyle w:val="FirstParagraph"/>
      </w:pPr>
      <w:r>
        <w:t xml:space="preserve">Validar funcionalidad, responsive, API, accesibilidad y rendimiento.</w:t>
      </w:r>
    </w:p>
    <w:bookmarkEnd w:id="50"/>
    <w:bookmarkStart w:id="51" w:name="documentación"/>
    <w:p>
      <w:pPr>
        <w:pStyle w:val="Heading2"/>
      </w:pPr>
      <w:r>
        <w:t xml:space="preserve">29. Documentación</w:t>
      </w:r>
    </w:p>
    <w:p>
      <w:pPr>
        <w:pStyle w:val="FirstParagraph"/>
      </w:pPr>
      <w:r>
        <w:t xml:space="preserve">Cada módulo contará con un documento DEF-WEB-XXX.</w:t>
      </w:r>
    </w:p>
    <w:bookmarkEnd w:id="51"/>
    <w:bookmarkStart w:id="52" w:name="roadmap"/>
    <w:p>
      <w:pPr>
        <w:pStyle w:val="Heading2"/>
      </w:pPr>
      <w:r>
        <w:t xml:space="preserve">30. Roadmap</w:t>
      </w:r>
    </w:p>
    <w:p>
      <w:pPr>
        <w:pStyle w:val="FirstParagraph"/>
      </w:pPr>
      <w:r>
        <w:t xml:space="preserve">Portal de Acceso, Layout Maestro, Menú Dinámico, Dashboard, Clientes, Contactos, Cotizaciones, Proyectos, Planeación, Actividades, Evidencias, Presupuestos, Costos, Compras, Inventario, Facturación, Cobranza, Reportes y Configuración.</w:t>
      </w:r>
    </w:p>
    <w:bookmarkEnd w:id="52"/>
    <w:bookmarkStart w:id="53" w:name="historial"/>
    <w:p>
      <w:pPr>
        <w:pStyle w:val="Heading2"/>
      </w:pPr>
      <w:r>
        <w:t xml:space="preserve">31. Historial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del documento</w:t>
            </w:r>
          </w:p>
        </w:tc>
      </w:tr>
    </w:tbl>
    <w:bookmarkEnd w:id="53"/>
    <w:bookmarkStart w:id="54" w:name="aprobación"/>
    <w:p>
      <w:pPr>
        <w:pStyle w:val="Heading2"/>
      </w:pPr>
      <w:r>
        <w:t xml:space="preserve">Aprobación</w:t>
      </w:r>
    </w:p>
    <w:p>
      <w:pPr>
        <w:pStyle w:val="FirstParagraph"/>
      </w:pPr>
      <w:r>
        <w:t xml:space="preserve">Este documento constituye el estándar oficial para el desarrollo del Frontend de ConstructFlow.Web.</w:t>
      </w:r>
    </w:p>
    <w:bookmarkEnd w:id="54"/>
    <w:bookmarkStart w:id="60" w:name="independencia-del-entorno-y-enrutamiento"/>
    <w:p>
      <w:pPr>
        <w:pStyle w:val="Heading2"/>
      </w:pPr>
      <w:r>
        <w:t xml:space="preserve">32. Independencia del Entorno y Enrutamiento</w:t>
      </w:r>
    </w:p>
    <w:bookmarkStart w:id="55" w:name="principios"/>
    <w:p>
      <w:pPr>
        <w:pStyle w:val="Heading3"/>
      </w:pPr>
      <w:r>
        <w:t xml:space="preserve">Principios</w:t>
      </w:r>
    </w:p>
    <w:p>
      <w:pPr>
        <w:pStyle w:val="Compact"/>
        <w:numPr>
          <w:ilvl w:val="0"/>
          <w:numId w:val="1011"/>
        </w:numPr>
      </w:pPr>
      <w:r>
        <w:t xml:space="preserve">El FrontEnd y las APIs deberán ser independientes del ambiente de ejecución (desarrollo, pruebas o producción).</w:t>
      </w:r>
    </w:p>
    <w:p>
      <w:pPr>
        <w:pStyle w:val="Compact"/>
        <w:numPr>
          <w:ilvl w:val="0"/>
          <w:numId w:val="1011"/>
        </w:numPr>
      </w:pPr>
      <w:r>
        <w:t xml:space="preserve">Ninguna API devolverá rutas físicas, URLs absolutas, nombres de servidor, direcciones IP o rutas dependientes del entorno.</w:t>
      </w:r>
    </w:p>
    <w:p>
      <w:pPr>
        <w:pStyle w:val="Compact"/>
        <w:numPr>
          <w:ilvl w:val="0"/>
          <w:numId w:val="1011"/>
        </w:numPr>
      </w:pPr>
      <w:r>
        <w:t xml:space="preserve">La resolución de rutas corresponde exclusivamente al FrontEnd mediante su mecanismo de enrutamiento.</w:t>
      </w:r>
    </w:p>
    <w:bookmarkEnd w:id="55"/>
    <w:bookmarkStart w:id="56" w:name="respuesta-esperada-de-las-apis"/>
    <w:p>
      <w:pPr>
        <w:pStyle w:val="Heading3"/>
      </w:pPr>
      <w:r>
        <w:t xml:space="preserve">Respuesta esperada de las APIs</w:t>
      </w:r>
    </w:p>
    <w:p>
      <w:pPr>
        <w:pStyle w:val="FirstParagraph"/>
      </w:pPr>
      <w:r>
        <w:t xml:space="preserve">Las APIs devolverán únicamente identificadores lógicos, por 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"people"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enrutamiento-del-frontend"/>
    <w:p>
      <w:pPr>
        <w:pStyle w:val="Heading3"/>
      </w:pPr>
      <w:r>
        <w:t xml:space="preserve">Enrutamiento del FrontEnd</w:t>
      </w:r>
    </w:p>
    <w:p>
      <w:pPr>
        <w:pStyle w:val="FirstParagraph"/>
      </w:pPr>
      <w:r>
        <w:t xml:space="preserve">El FrontEnd resolverá internamente el componente o vista correspondiente mediante un router o mapa de rutas. Esto permite desplegar ConstructFlow sin cambios en Windows, Linux, Apache, Nginx, Docker o servicios en la nube.</w:t>
      </w:r>
    </w:p>
    <w:bookmarkEnd w:id="57"/>
    <w:bookmarkStart w:id="58" w:name="configuración-por-ambiente"/>
    <w:p>
      <w:pPr>
        <w:pStyle w:val="Heading3"/>
      </w:pPr>
      <w:r>
        <w:t xml:space="preserve">Configuración por Ambiente</w:t>
      </w:r>
    </w:p>
    <w:p>
      <w:pPr>
        <w:pStyle w:val="FirstParagraph"/>
      </w:pPr>
      <w:r>
        <w:t xml:space="preserve">Las diferencias entre Desarrollo, QA y Producción deberán administrarse mediante archivos de configuración o variables de entorno, nunca mediante código fuente.</w:t>
      </w:r>
    </w:p>
    <w:bookmarkEnd w:id="58"/>
    <w:bookmarkStart w:id="59" w:name="beneficios"/>
    <w:p>
      <w:pPr>
        <w:pStyle w:val="Heading3"/>
      </w:pPr>
      <w:r>
        <w:t xml:space="preserve">Beneficios</w:t>
      </w:r>
    </w:p>
    <w:p>
      <w:pPr>
        <w:pStyle w:val="Compact"/>
        <w:numPr>
          <w:ilvl w:val="0"/>
          <w:numId w:val="1012"/>
        </w:numPr>
      </w:pPr>
      <w:r>
        <w:t xml:space="preserve">Portabilidad entre ambientes.</w:t>
      </w:r>
    </w:p>
    <w:p>
      <w:pPr>
        <w:pStyle w:val="Compact"/>
        <w:numPr>
          <w:ilvl w:val="0"/>
          <w:numId w:val="1012"/>
        </w:numPr>
      </w:pPr>
      <w:r>
        <w:t xml:space="preserve">Despliegue en servidores Linux o Windows.</w:t>
      </w:r>
    </w:p>
    <w:p>
      <w:pPr>
        <w:pStyle w:val="Compact"/>
        <w:numPr>
          <w:ilvl w:val="0"/>
          <w:numId w:val="1012"/>
        </w:numPr>
      </w:pPr>
      <w:r>
        <w:t xml:space="preserve">Compatibilidad con infraestructura en la nube.</w:t>
      </w:r>
    </w:p>
    <w:p>
      <w:pPr>
        <w:pStyle w:val="Compact"/>
        <w:numPr>
          <w:ilvl w:val="0"/>
          <w:numId w:val="1012"/>
        </w:numPr>
      </w:pPr>
      <w:r>
        <w:t xml:space="preserve">Eliminación de dependencias a localhost o rutas físicas.</w:t>
      </w:r>
    </w:p>
    <w:p>
      <w:pPr>
        <w:pStyle w:val="Compact"/>
        <w:numPr>
          <w:ilvl w:val="0"/>
          <w:numId w:val="1012"/>
        </w:numPr>
      </w:pPr>
      <w:r>
        <w:t xml:space="preserve">Mayor mantenibilidad y escalabilidad.</w:t>
      </w:r>
    </w:p>
    <w:bookmarkEnd w:id="59"/>
    <w:bookmarkEnd w:id="60"/>
    <w:bookmarkStart w:id="61" w:name="historial-de-cambios"/>
    <w:p>
      <w:pPr>
        <w:pStyle w:val="Heading2"/>
      </w:pPr>
      <w:r>
        <w:t xml:space="preserve">33. Historial de Cambios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incorpora el estándar de independencia del entorno, resolución de rutas mediante FrontEnd y prohibición de rutas físicas o URLs absolutas en las APIs.</w:t>
            </w:r>
          </w:p>
        </w:tc>
      </w:tr>
    </w:tbl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2026-07-18T20:23:57Z</dcterms:created>
  <dcterms:modified xsi:type="dcterms:W3CDTF">2026-07-18T20:23:57Z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