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DEF-WEB-016 – API Facturación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DEF-WEB-016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Facturación para la emisión, consulta y administración de facturas electrónicas (CFDI), así como su integración con el proceso de cobranza.</w:t>
      </w:r>
    </w:p>
    <w:p>
      <w:pPr>
        <w:pStyle w:val="Heading1"/>
      </w:pPr>
      <w:r>
        <w:t>2. Alcance</w:t>
      </w:r>
    </w:p>
    <w:p>
      <w:r>
        <w:t>Incluye generación de facturas, cancelación, consulta, carga y descarga de PDF/XML, integración con el portal del cliente y seguimiento para cuentas por cobrar.</w:t>
      </w:r>
    </w:p>
    <w:p>
      <w:pPr>
        <w:pStyle w:val="Heading1"/>
      </w:pPr>
      <w:r>
        <w:t>3. Endpoints</w:t>
      </w:r>
    </w:p>
    <w:p>
      <w:r>
        <w:t>GET    /api/v1/facturas</w:t>
        <w:br/>
        <w:t>POST   /api/v1/facturas</w:t>
        <w:br/>
        <w:t>GET    /api/v1/facturas/{id}</w:t>
        <w:br/>
        <w:t>PUT    /api/v1/facturas/{id}</w:t>
        <w:br/>
        <w:t>DELETE /api/v1/facturas/{id}</w:t>
        <w:br/>
        <w:t>POST   /api/v1/facturas/{id}/timbrar</w:t>
        <w:br/>
        <w:t>POST   /api/v1/facturas/{id}/cancelar</w:t>
        <w:br/>
        <w:t>GET    /api/v1/facturas/{id}/pdf</w:t>
        <w:br/>
        <w:t>GET    /api/v1/facturas/{id}/xml</w:t>
        <w:br/>
        <w:t>POST   /api/v1/facturas/{id}/portal-cliente</w:t>
        <w:br/>
        <w:t>GET    /api/v1/proyectos/{id}/facturas</w:t>
      </w:r>
    </w:p>
    <w:p>
      <w:pPr>
        <w:pStyle w:val="Heading1"/>
      </w:pPr>
      <w:r>
        <w:t>4. Flujo Funcional</w:t>
      </w:r>
    </w:p>
    <w:p>
      <w:r>
        <w:t>Generar Factura → Validar Información Fiscal → Timbrar CFDI → Generar PDF y XML → Registrar Factura → Publicar en Portal del Cliente → Iniciar Seguimiento de Cobranza.</w:t>
      </w:r>
    </w:p>
    <w:p>
      <w:pPr>
        <w:pStyle w:val="Heading1"/>
      </w:pPr>
      <w:r>
        <w:t>5. Arquitectura</w:t>
      </w:r>
    </w:p>
    <w:p>
      <w:r>
        <w:t>Cliente Web/Móvil → FacturaController → FacturaService → FacturaRepository → Servicio de Timbrado CFDI → Base de Datos.</w:t>
      </w:r>
    </w:p>
    <w:p>
      <w:pPr>
        <w:pStyle w:val="Heading1"/>
      </w:pPr>
      <w:r>
        <w:t>6. Reglas de Negocio</w:t>
      </w:r>
    </w:p>
    <w:p>
      <w:r>
        <w:t>• Cada factura pertenece a una empresa y a un proyecto o cotización.</w:t>
        <w:br/>
        <w:t>• El timbrado genera CFDI, PDF y XML.</w:t>
        <w:br/>
        <w:t>• Las cancelaciones deben conservar trazabilidad.</w:t>
        <w:br/>
        <w:t>• La factura puede publicarse en el portal del cliente.</w:t>
        <w:br/>
        <w:t>• La información alimenta el módulo de Cartera y Cobranza.</w:t>
      </w:r>
    </w:p>
    <w:p>
      <w:pPr>
        <w:pStyle w:val="Heading1"/>
      </w:pPr>
      <w:r>
        <w:t>7. Integraciones</w:t>
      </w:r>
    </w:p>
    <w:p>
      <w:r>
        <w:t>Clientes, Cotizaciones, Proyectos, Documentos, Cartera, Pagos, Reportes, Auditoría y Portal del Cliente.</w:t>
      </w:r>
    </w:p>
    <w:p>
      <w:pPr>
        <w:pStyle w:val="Heading1"/>
      </w:pPr>
      <w:r>
        <w:t>8. Seguridad</w:t>
      </w:r>
    </w:p>
    <w:p>
      <w:r>
        <w:t>JWT obligatorio. EmpresaID y UsuarioID obtenidos del token. Validación de permisos para emitir, cancelar y consultar facturas.</w:t>
      </w:r>
    </w:p>
    <w:p>
      <w:pPr>
        <w:pStyle w:val="Heading1"/>
      </w:pPr>
      <w:r>
        <w:t>9. Casos de Prueba</w:t>
      </w:r>
    </w:p>
    <w:p>
      <w:r>
        <w:t>- Emitir factura.</w:t>
        <w:br/>
        <w:t>- Timbrar CFDI.</w:t>
        <w:br/>
        <w:t>- Descargar PDF.</w:t>
        <w:br/>
        <w:t>- Descargar XML.</w:t>
        <w:br/>
        <w:t>- Cancelar factura.</w:t>
        <w:br/>
        <w:t>- Publicar en portal del cliente.</w:t>
        <w:br/>
        <w:t>- Consultar facturas por proyecto.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