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ConstructFlow ERP</w:t>
        <w:br/>
        <w:t>Arquitectura de Documentación</w:t>
        <w:br/>
        <w:t>BT-000 – Biblioteca Técnica Oficial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Clasificación: </w:t>
      </w:r>
      <w:r>
        <w:t>Uso Interno</w:t>
        <w:br/>
      </w:r>
      <w:r>
        <w:rPr>
          <w:b/>
        </w:rPr>
        <w:t xml:space="preserve">Objetivo: </w:t>
      </w:r>
      <w:r>
        <w:t>Definir la arquitectura documental oficial de ConstructFlow para garantizar la trazabilidad entre procesos de negocio, frontend, API, base de datos e implementación.</w:t>
      </w:r>
    </w:p>
    <w:p>
      <w:pPr>
        <w:pStyle w:val="Heading1"/>
      </w:pPr>
      <w:r>
        <w:t>1. Propósito</w:t>
      </w:r>
    </w:p>
    <w:p>
      <w:r>
        <w:t>La Biblioteca Técnica de ConstructFlow centraliza toda la documentación funcional, técnica y operativa del ERP. Cada documento tendrá un identificador único, control de versiones y referencias cruzadas para facilitar mantenimiento, auditorías, capacitación y evolución del producto.</w:t>
      </w:r>
    </w:p>
    <w:p>
      <w:pPr>
        <w:pStyle w:val="Heading1"/>
      </w:pPr>
      <w:r>
        <w:t>2. Objetivos</w:t>
      </w:r>
    </w:p>
    <w:p>
      <w:pPr>
        <w:pStyle w:val="ListBullet"/>
      </w:pPr>
      <w:r>
        <w:t>Estandarizar toda la documentación del ERP.</w:t>
      </w:r>
    </w:p>
    <w:p>
      <w:pPr>
        <w:pStyle w:val="ListBullet"/>
      </w:pPr>
      <w:r>
        <w:t>Mantener trazabilidad entre requisitos, código y base de datos.</w:t>
      </w:r>
    </w:p>
    <w:p>
      <w:pPr>
        <w:pStyle w:val="ListBullet"/>
      </w:pPr>
      <w:r>
        <w:t>Documentar procesos funcionales y arquitectura técnica.</w:t>
      </w:r>
    </w:p>
    <w:p>
      <w:pPr>
        <w:pStyle w:val="ListBullet"/>
      </w:pPr>
      <w:r>
        <w:t>Facilitar incorporación de nuevos desarrolladores.</w:t>
      </w:r>
    </w:p>
    <w:p>
      <w:pPr>
        <w:pStyle w:val="ListBullet"/>
      </w:pPr>
      <w:r>
        <w:t>Servir como documentación oficial del producto.</w:t>
      </w:r>
    </w:p>
    <w:p>
      <w:pPr>
        <w:pStyle w:val="Heading1"/>
      </w:pPr>
      <w:r>
        <w:t>3. Estructura de la Biblioteca</w:t>
      </w:r>
    </w:p>
    <w:p>
      <w:r>
        <w:br/>
        <w:t>ConstructFlow_Documentacion/</w:t>
        <w:br/>
        <w:t>├── 00-Biblioteca_Tecnica</w:t>
        <w:br/>
        <w:t>├── 01-Arquitectura</w:t>
        <w:br/>
        <w:t>├── 02-Procesos</w:t>
        <w:br/>
        <w:t>├── 03-Frontend</w:t>
        <w:br/>
        <w:t>├── 04-API</w:t>
        <w:br/>
        <w:t>├── 05-Base_Datos</w:t>
        <w:br/>
        <w:t>├── 06-Mobile</w:t>
        <w:br/>
        <w:t>├── 07-Integraciones</w:t>
        <w:br/>
        <w:t>├── 08-Implementacion</w:t>
        <w:br/>
        <w:t>├── 09-Manuales</w:t>
        <w:br/>
        <w:t>└── Anexos</w:t>
        <w:br/>
      </w:r>
    </w:p>
    <w:p>
      <w:pPr>
        <w:pStyle w:val="Heading1"/>
      </w:pPr>
      <w:r>
        <w:t>4. Convención de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Prefijo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BT</w:t>
            </w:r>
          </w:p>
        </w:tc>
        <w:tc>
          <w:tcPr>
            <w:tcW w:type="dxa" w:w="2880"/>
          </w:tcPr>
          <w:p>
            <w:r>
              <w:t>Biblioteca Técnica</w:t>
            </w:r>
          </w:p>
        </w:tc>
        <w:tc>
          <w:tcPr>
            <w:tcW w:type="dxa" w:w="2880"/>
          </w:tcPr>
          <w:p>
            <w:r>
              <w:t>BT-000 Índice Maestro</w:t>
            </w:r>
          </w:p>
        </w:tc>
      </w:tr>
      <w:tr>
        <w:tc>
          <w:tcPr>
            <w:tcW w:type="dxa" w:w="2880"/>
          </w:tcPr>
          <w:p>
            <w:r>
              <w:t>ARQ</w:t>
            </w:r>
          </w:p>
        </w:tc>
        <w:tc>
          <w:tcPr>
            <w:tcW w:type="dxa" w:w="2880"/>
          </w:tcPr>
          <w:p>
            <w:r>
              <w:t>Arquitectura</w:t>
            </w:r>
          </w:p>
        </w:tc>
        <w:tc>
          <w:tcPr>
            <w:tcW w:type="dxa" w:w="2880"/>
          </w:tcPr>
          <w:p>
            <w:r>
              <w:t>ARQ-001 Arquitectura General</w:t>
            </w:r>
          </w:p>
        </w:tc>
      </w:tr>
      <w:tr>
        <w:tc>
          <w:tcPr>
            <w:tcW w:type="dxa" w:w="2880"/>
          </w:tcPr>
          <w:p>
            <w:r>
              <w:t>PR-WEB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PR-WEB-001 Login</w:t>
            </w:r>
          </w:p>
        </w:tc>
      </w:tr>
      <w:tr>
        <w:tc>
          <w:tcPr>
            <w:tcW w:type="dxa" w:w="2880"/>
          </w:tcPr>
          <w:p>
            <w:r>
              <w:t>DEF-WEB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DEF-WEB-009 Cotizaciones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DB-001 CF_Cliente</w:t>
            </w:r>
          </w:p>
        </w:tc>
      </w:tr>
      <w:tr>
        <w:tc>
          <w:tcPr>
            <w:tcW w:type="dxa" w:w="2880"/>
          </w:tcPr>
          <w:p>
            <w:r>
              <w:t>MAN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MAN-001 Usuario</w:t>
            </w:r>
          </w:p>
        </w:tc>
      </w:tr>
    </w:tbl>
    <w:p>
      <w:pPr>
        <w:pStyle w:val="Heading1"/>
      </w:pPr>
      <w:r>
        <w:t>5. Trazabilidad</w:t>
      </w:r>
    </w:p>
    <w:p>
      <w:r>
        <w:t>Proceso de Negocio</w:t>
        <w:br/>
        <w:t xml:space="preserve">        ↓</w:t>
        <w:br/>
        <w:t>Pantalla Frontend</w:t>
        <w:br/>
        <w:t xml:space="preserve">        ↓</w:t>
        <w:br/>
        <w:t>API REST</w:t>
        <w:br/>
        <w:t xml:space="preserve">        ↓</w:t>
        <w:br/>
        <w:t>Controller</w:t>
        <w:br/>
        <w:t xml:space="preserve">        ↓</w:t>
        <w:br/>
        <w:t>Service</w:t>
        <w:br/>
        <w:t xml:space="preserve">        ↓</w:t>
        <w:br/>
        <w:t>Repository</w:t>
        <w:br/>
        <w:t xml:space="preserve">        ↓</w:t>
        <w:br/>
        <w:t>Base de Datos</w:t>
        <w:br/>
        <w:t xml:space="preserve">        ↓</w:t>
        <w:br/>
        <w:t>Reportes / KPI / Dashboard</w:t>
      </w:r>
    </w:p>
    <w:p>
      <w:pPr>
        <w:pStyle w:val="Heading1"/>
      </w:pPr>
      <w:r>
        <w:t>6. Fases de Documentación</w:t>
      </w:r>
    </w:p>
    <w:p>
      <w:pPr>
        <w:pStyle w:val="ListNumber"/>
      </w:pPr>
      <w:r>
        <w:t>Fase 1: Arquitectura y Biblioteca Técnica</w:t>
      </w:r>
    </w:p>
    <w:p>
      <w:pPr>
        <w:pStyle w:val="ListNumber"/>
      </w:pPr>
      <w:r>
        <w:t>Fase 2: Procesos Funcionales</w:t>
      </w:r>
    </w:p>
    <w:p>
      <w:pPr>
        <w:pStyle w:val="ListNumber"/>
      </w:pPr>
      <w:r>
        <w:t>Fase 3: Frontend Web</w:t>
      </w:r>
    </w:p>
    <w:p>
      <w:pPr>
        <w:pStyle w:val="ListNumber"/>
      </w:pPr>
      <w:r>
        <w:t>Fase 4: API REST</w:t>
      </w:r>
    </w:p>
    <w:p>
      <w:pPr>
        <w:pStyle w:val="ListNumber"/>
      </w:pPr>
      <w:r>
        <w:t>Fase 5: Base de Datos</w:t>
      </w:r>
    </w:p>
    <w:p>
      <w:pPr>
        <w:pStyle w:val="ListNumber"/>
      </w:pPr>
      <w:r>
        <w:t>Fase 6: Aplicación Móvil</w:t>
      </w:r>
    </w:p>
    <w:p>
      <w:pPr>
        <w:pStyle w:val="ListNumber"/>
      </w:pPr>
      <w:r>
        <w:t>Fase 7: Implementación e Integraciones</w:t>
      </w:r>
    </w:p>
    <w:p>
      <w:pPr>
        <w:pStyle w:val="ListNumber"/>
      </w:pPr>
      <w:r>
        <w:t>Fase 8: Manuales de Usuario y Administrador</w:t>
      </w:r>
    </w:p>
    <w:p>
      <w:pPr>
        <w:pStyle w:val="Heading1"/>
      </w:pPr>
      <w:r>
        <w:t>7. Beneficios</w:t>
      </w:r>
    </w:p>
    <w:p>
      <w:pPr>
        <w:pStyle w:val="ListBullet"/>
      </w:pPr>
      <w:r>
        <w:t>Documentación oficial del producto.</w:t>
      </w:r>
    </w:p>
    <w:p>
      <w:pPr>
        <w:pStyle w:val="ListBullet"/>
      </w:pPr>
      <w:r>
        <w:t>Trazabilidad completa extremo a extremo.</w:t>
      </w:r>
    </w:p>
    <w:p>
      <w:pPr>
        <w:pStyle w:val="ListBullet"/>
      </w:pPr>
      <w:r>
        <w:t>Facilidad de mantenimiento.</w:t>
      </w:r>
    </w:p>
    <w:p>
      <w:pPr>
        <w:pStyle w:val="ListBullet"/>
      </w:pPr>
      <w:r>
        <w:t>Soporte para auditorías y certificaciones.</w:t>
      </w:r>
    </w:p>
    <w:p>
      <w:pPr>
        <w:pStyle w:val="ListBullet"/>
      </w:pPr>
      <w:r>
        <w:t>Base para capacitación e implementación.</w:t>
      </w:r>
    </w:p>
    <w:p>
      <w:pPr>
        <w:pStyle w:val="Heading1"/>
      </w:pPr>
      <w:r>
        <w:t>8. 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17/07/2026</w:t>
            </w:r>
          </w:p>
        </w:tc>
        <w:tc>
          <w:tcPr>
            <w:tcW w:type="dxa" w:w="2160"/>
          </w:tcPr>
          <w:p>
            <w:r>
              <w:t>ConstructFlow Development Team</w:t>
            </w:r>
          </w:p>
        </w:tc>
        <w:tc>
          <w:tcPr>
            <w:tcW w:type="dxa" w:w="2160"/>
          </w:tcPr>
          <w:p>
            <w:r>
              <w:t>Creación inicial de la Biblioteca Técnica.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