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DEF-WEB-008 – API Cotizaciones</w:t>
      </w:r>
    </w:p>
    <w:p>
      <w:pPr>
        <w:pStyle w:val="Heading1"/>
      </w:pPr>
      <w:r>
        <w:t>Objetivo</w:t>
      </w:r>
    </w:p>
    <w:p>
      <w:r>
        <w:t>Documentar la API REST del módulo Cotizaciones de ConstructFlow.</w:t>
      </w:r>
    </w:p>
    <w:p>
      <w:pPr>
        <w:pStyle w:val="Heading1"/>
      </w:pPr>
      <w:r>
        <w:t>Arquitectura</w:t>
      </w:r>
    </w:p>
    <w:p>
      <w:r>
        <w:t>Request → CotizacionesController → CotizacionesService → CotizacionesRepository → Base de Datos → JSON</w:t>
      </w:r>
    </w:p>
    <w:p>
      <w:pPr>
        <w:pStyle w:val="Heading1"/>
      </w:pPr>
      <w:r>
        <w:t>Contenido</w:t>
      </w:r>
    </w:p>
    <w:p>
      <w:pPr>
        <w:pStyle w:val="ListBullet"/>
      </w:pPr>
      <w:r>
        <w:t>Objetivo y alcance</w:t>
      </w:r>
    </w:p>
    <w:p>
      <w:pPr>
        <w:pStyle w:val="ListBullet"/>
      </w:pPr>
      <w:r>
        <w:t>Endpoints</w:t>
      </w:r>
    </w:p>
    <w:p>
      <w:pPr>
        <w:pStyle w:val="ListBullet"/>
      </w:pPr>
      <w:r>
        <w:t>Reglas de negocio</w:t>
      </w:r>
    </w:p>
    <w:p>
      <w:pPr>
        <w:pStyle w:val="ListBullet"/>
      </w:pPr>
      <w:r>
        <w:t>Request/Response</w:t>
      </w:r>
    </w:p>
    <w:p>
      <w:pPr>
        <w:pStyle w:val="ListBullet"/>
      </w:pPr>
      <w:r>
        <w:t>Tablas relacionadas</w:t>
      </w:r>
    </w:p>
    <w:p>
      <w:pPr>
        <w:pStyle w:val="ListBullet"/>
      </w:pPr>
      <w:r>
        <w:t>Casos de prueba</w:t>
      </w:r>
    </w:p>
    <w:p>
      <w:pPr>
        <w:pStyle w:val="ListBullet"/>
      </w:pPr>
      <w:r>
        <w:t>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