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12" w:lineRule="auto"/>
        <w:jc w:val="center"/>
      </w:pPr>
      <w:r>
        <w:rPr>
          <w:rFonts w:ascii="宋体" w:hAnsi="宋体" w:eastAsia="宋体"/>
          <w:b/>
          <w:sz w:val="28"/>
        </w:rPr>
        <w:t>2026年华北五省（市、自治区）及港澳台大学生</w:t>
      </w:r>
    </w:p>
    <w:p>
      <w:pPr>
        <w:spacing w:after="40" w:before="0" w:line="312" w:lineRule="auto"/>
        <w:jc w:val="center"/>
      </w:pPr>
      <w:r>
        <w:rPr>
          <w:rFonts w:ascii="宋体" w:hAnsi="宋体" w:eastAsia="宋体"/>
          <w:b/>
          <w:sz w:val="28"/>
        </w:rPr>
        <w:t>计算机应用大赛 移动互联网应用创新</w:t>
      </w:r>
    </w:p>
    <w:p>
      <w:pPr>
        <w:spacing w:after="40" w:before="0" w:line="312" w:lineRule="auto"/>
        <w:jc w:val="center"/>
      </w:pPr>
      <w:r>
        <w:rPr>
          <w:rFonts w:ascii="宋体" w:hAnsi="宋体" w:eastAsia="宋体"/>
          <w:b/>
          <w:sz w:val="28"/>
        </w:rPr>
        <w:t>移动互联网应用程序开发</w:t>
      </w:r>
    </w:p>
    <w:p>
      <w:pPr>
        <w:spacing w:after="120" w:before="0" w:line="360" w:lineRule="auto"/>
      </w:pPr>
    </w:p>
    <w:p>
      <w:pPr>
        <w:spacing w:after="80" w:before="0" w:line="312" w:lineRule="auto"/>
        <w:jc w:val="center"/>
      </w:pPr>
      <w:r>
        <w:rPr>
          <w:rFonts w:ascii="黑体" w:hAnsi="黑体" w:eastAsia="黑体"/>
          <w:b/>
          <w:sz w:val="44"/>
        </w:rPr>
        <w:t>【项目名称】  XIAN</w:t>
      </w:r>
    </w:p>
    <w:p>
      <w:pPr>
        <w:spacing w:after="280" w:before="0" w:line="312" w:lineRule="auto"/>
        <w:jc w:val="center"/>
      </w:pPr>
      <w:r>
        <w:rPr>
          <w:rFonts w:ascii="宋体" w:hAnsi="宋体" w:eastAsia="宋体"/>
          <w:b w:val="0"/>
          <w:sz w:val="30"/>
        </w:rPr>
        <w:t>AI Agent 红蓝对抗平台</w:t>
      </w:r>
    </w:p>
    <w:p>
      <w:pPr>
        <w:spacing w:after="120" w:before="0" w:line="312" w:lineRule="auto"/>
        <w:jc w:val="center"/>
      </w:pPr>
      <w:r>
        <w:rPr>
          <w:rFonts w:ascii="宋体" w:hAnsi="宋体" w:eastAsia="宋体"/>
          <w:b/>
          <w:sz w:val="26"/>
        </w:rPr>
        <w:t>（Android作品）</w:t>
      </w:r>
    </w:p>
    <w:p>
      <w:pPr>
        <w:spacing w:after="160" w:line="312" w:lineRule="auto"/>
        <w:jc w:val="center"/>
      </w:pPr>
      <w:r>
        <w:rPr>
          <w:rFonts w:ascii="黑体" w:hAnsi="黑体" w:eastAsia="黑体"/>
          <w:b/>
          <w:sz w:val="25"/>
        </w:rPr>
        <w:t>所在赛区：</w:t>
      </w:r>
      <w:r>
        <w:rPr>
          <w:rFonts w:ascii="宋体" w:hAnsi="宋体" w:eastAsia="宋体"/>
          <w:b w:val="0"/>
          <w:sz w:val="25"/>
        </w:rPr>
        <w:t>________________________</w:t>
      </w:r>
    </w:p>
    <w:p>
      <w:pPr>
        <w:spacing w:after="160" w:line="312" w:lineRule="auto"/>
        <w:jc w:val="center"/>
      </w:pPr>
      <w:r>
        <w:rPr>
          <w:rFonts w:ascii="黑体" w:hAnsi="黑体" w:eastAsia="黑体"/>
          <w:b/>
          <w:sz w:val="25"/>
        </w:rPr>
        <w:t>所在学校：</w:t>
      </w:r>
      <w:r>
        <w:rPr>
          <w:rFonts w:ascii="宋体" w:hAnsi="宋体" w:eastAsia="宋体"/>
          <w:b w:val="0"/>
          <w:sz w:val="25"/>
        </w:rPr>
        <w:t>________________________</w:t>
      </w:r>
    </w:p>
    <w:p>
      <w:pPr>
        <w:spacing w:after="160" w:line="312" w:lineRule="auto"/>
        <w:jc w:val="center"/>
      </w:pPr>
      <w:r>
        <w:rPr>
          <w:rFonts w:ascii="黑体" w:hAnsi="黑体" w:eastAsia="黑体"/>
          <w:b/>
          <w:sz w:val="25"/>
        </w:rPr>
        <w:t>团队名称：</w:t>
      </w:r>
      <w:r>
        <w:rPr>
          <w:rFonts w:ascii="宋体" w:hAnsi="宋体" w:eastAsia="宋体"/>
          <w:b w:val="0"/>
          <w:sz w:val="25"/>
        </w:rPr>
        <w:t>XIAN 红蓝安全实验室</w:t>
      </w:r>
    </w:p>
    <w:p>
      <w:pPr>
        <w:spacing w:after="160" w:line="312" w:lineRule="auto"/>
        <w:jc w:val="center"/>
      </w:pPr>
      <w:r>
        <w:rPr>
          <w:rFonts w:ascii="黑体" w:hAnsi="黑体" w:eastAsia="黑体"/>
          <w:b/>
          <w:sz w:val="25"/>
        </w:rPr>
        <w:t>团队成员：</w:t>
      </w:r>
      <w:r>
        <w:rPr>
          <w:rFonts w:ascii="宋体" w:hAnsi="宋体" w:eastAsia="宋体"/>
          <w:b w:val="0"/>
          <w:sz w:val="25"/>
        </w:rPr>
        <w:t>张___、李___、王___、赵___、陈___</w:t>
      </w:r>
    </w:p>
    <w:p>
      <w:pPr>
        <w:spacing w:after="160" w:line="312" w:lineRule="auto"/>
        <w:jc w:val="center"/>
      </w:pPr>
      <w:r>
        <w:rPr>
          <w:rFonts w:ascii="黑体" w:hAnsi="黑体" w:eastAsia="黑体"/>
          <w:b/>
          <w:sz w:val="25"/>
        </w:rPr>
        <w:t>提交日期：</w:t>
      </w:r>
      <w:r>
        <w:rPr>
          <w:rFonts w:ascii="宋体" w:hAnsi="宋体" w:eastAsia="宋体"/>
          <w:b w:val="0"/>
          <w:sz w:val="25"/>
        </w:rPr>
        <w:t>2026 年 ____ 月 ____ 日</w:t>
      </w:r>
    </w:p>
    <w:p>
      <w:r>
        <w:br w:type="page"/>
      </w:r>
    </w:p>
    <w:p>
      <w:pPr>
        <w:spacing w:after="80" w:before="0" w:line="312" w:lineRule="auto"/>
        <w:jc w:val="center"/>
      </w:pPr>
      <w:r>
        <w:rPr>
          <w:rFonts w:ascii="宋体" w:hAnsi="宋体" w:eastAsia="宋体"/>
          <w:b/>
          <w:sz w:val="28"/>
        </w:rPr>
        <w:t>2026年华北五省（市、自治区）及港澳台大学生计算机应用大赛</w:t>
      </w:r>
    </w:p>
    <w:p>
      <w:pPr>
        <w:spacing w:after="320" w:before="0" w:line="312" w:lineRule="auto"/>
        <w:jc w:val="center"/>
      </w:pPr>
      <w:r>
        <w:rPr>
          <w:rFonts w:ascii="黑体" w:hAnsi="黑体" w:eastAsia="黑体"/>
          <w:b/>
          <w:sz w:val="32"/>
        </w:rPr>
        <w:t>参赛作品知识产权声明</w:t>
      </w:r>
    </w:p>
    <w:p>
      <w:pPr>
        <w:spacing w:after="120" w:before="0" w:line="360" w:lineRule="auto"/>
        <w:ind w:firstLine="480"/>
      </w:pPr>
      <w:r>
        <w:rPr>
          <w:rFonts w:ascii="宋体" w:hAnsi="宋体" w:eastAsia="宋体"/>
          <w:b w:val="0"/>
          <w:sz w:val="24"/>
        </w:rPr>
        <w:t>参赛作品名称：XIAN（AI Agent 红蓝对抗平台）        （下称该作品）</w:t>
      </w:r>
    </w:p>
    <w:p>
      <w:pPr>
        <w:spacing w:after="120" w:before="0" w:line="360" w:lineRule="auto"/>
        <w:ind w:firstLine="480"/>
      </w:pPr>
      <w:r>
        <w:rPr>
          <w:rFonts w:ascii="宋体" w:hAnsi="宋体" w:eastAsia="宋体"/>
          <w:b w:val="0"/>
          <w:sz w:val="24"/>
        </w:rPr>
        <w:t>本小组全体成员，就该作品声明如下：</w:t>
      </w:r>
    </w:p>
    <w:p>
      <w:pPr>
        <w:spacing w:after="120" w:before="0" w:line="360" w:lineRule="auto"/>
        <w:ind w:firstLine="480"/>
      </w:pPr>
      <w:r>
        <w:rPr>
          <w:rFonts w:ascii="宋体" w:hAnsi="宋体" w:eastAsia="宋体"/>
          <w:b w:val="0"/>
          <w:sz w:val="24"/>
        </w:rPr>
        <w:t>1、该作品（含提交参赛的 App 应用、相关文档和介绍视频）是本小组成员的原创研究成果，不存在侵犯任何他人知识产权、涉及泄密或违反中华人民共和国法律法规的情形，且未在 2025 年 ___ 月 ____ 日前公开发布。</w:t>
      </w:r>
    </w:p>
    <w:p>
      <w:pPr>
        <w:spacing w:after="120" w:before="0" w:line="360" w:lineRule="auto"/>
        <w:ind w:firstLine="480"/>
      </w:pPr>
      <w:r>
        <w:rPr>
          <w:rFonts w:ascii="宋体" w:hAnsi="宋体" w:eastAsia="宋体"/>
          <w:b w:val="0"/>
          <w:sz w:val="24"/>
        </w:rPr>
        <w:t>2、我们确认：该作品知识产权归本小组成员所有，且签署本声明的人员能够代表全体小组成员的意愿。</w:t>
      </w:r>
    </w:p>
    <w:p>
      <w:pPr>
        <w:spacing w:after="120" w:before="0" w:line="360" w:lineRule="auto"/>
        <w:ind w:firstLine="480"/>
      </w:pPr>
      <w:r>
        <w:rPr>
          <w:rFonts w:ascii="宋体" w:hAnsi="宋体" w:eastAsia="宋体"/>
          <w:b w:val="0"/>
          <w:sz w:val="24"/>
        </w:rPr>
        <w:t>3、我们承诺：将仅由本小组成员参加大赛答辩。</w:t>
      </w:r>
    </w:p>
    <w:p>
      <w:pPr>
        <w:spacing w:after="120" w:before="0" w:line="360" w:lineRule="auto"/>
        <w:ind w:firstLine="480"/>
      </w:pPr>
      <w:r>
        <w:rPr>
          <w:rFonts w:ascii="宋体" w:hAnsi="宋体" w:eastAsia="宋体"/>
          <w:b w:val="0"/>
          <w:sz w:val="24"/>
        </w:rPr>
        <w:t>4、大赛举办方为宣传大赛、推广参赛作品，以及为未来各届大赛的参赛选手提供参考等非盈利目的，可能需要以下列形式使用参赛作品，就此我们确认：</w:t>
      </w:r>
    </w:p>
    <w:p>
      <w:pPr>
        <w:spacing w:after="120" w:before="0" w:line="360" w:lineRule="auto"/>
        <w:ind w:firstLine="480"/>
      </w:pPr>
      <w:r>
        <w:rPr>
          <w:rFonts w:ascii="宋体" w:hAnsi="宋体" w:eastAsia="宋体"/>
          <w:b w:val="0"/>
          <w:sz w:val="24"/>
        </w:rPr>
        <w:t>（1）</w:t>
        <w:tab/>
        <w:t>□同意 □不同意：将参赛作品的相关文档结集出版（含公开发行）；</w:t>
      </w:r>
    </w:p>
    <w:p>
      <w:pPr>
        <w:spacing w:after="120" w:before="0" w:line="360" w:lineRule="auto"/>
        <w:ind w:firstLine="480"/>
      </w:pPr>
      <w:r>
        <w:rPr>
          <w:rFonts w:ascii="宋体" w:hAnsi="宋体" w:eastAsia="宋体"/>
          <w:b w:val="0"/>
          <w:sz w:val="24"/>
        </w:rPr>
        <w:t>（2）</w:t>
        <w:tab/>
        <w:t>□同意 □不同意：在相关网站（包括大赛官网及含优酷等第三方视频平台网站）上传和播放介绍视频或幻灯片；</w:t>
      </w:r>
    </w:p>
    <w:p>
      <w:pPr>
        <w:spacing w:after="120" w:before="0" w:line="360" w:lineRule="auto"/>
        <w:ind w:firstLine="480"/>
      </w:pPr>
      <w:r>
        <w:rPr>
          <w:rFonts w:ascii="宋体" w:hAnsi="宋体" w:eastAsia="宋体"/>
          <w:b w:val="0"/>
          <w:sz w:val="24"/>
        </w:rPr>
        <w:t>（3）</w:t>
        <w:tab/>
        <w:t>□同意 □不同意：在大赛官方网站提供 APP 应用免费下载；</w:t>
      </w:r>
    </w:p>
    <w:p>
      <w:pPr>
        <w:spacing w:after="120" w:before="0" w:line="360" w:lineRule="auto"/>
        <w:ind w:firstLine="480"/>
      </w:pPr>
      <w:r>
        <w:rPr>
          <w:rFonts w:ascii="宋体" w:hAnsi="宋体" w:eastAsia="宋体"/>
          <w:b w:val="0"/>
          <w:sz w:val="24"/>
        </w:rPr>
        <w:t>（4）</w:t>
        <w:tab/>
        <w:t>作出上述许可，同样不违反本声明第 1 款的要求。</w:t>
      </w:r>
    </w:p>
    <w:p>
      <w:pPr>
        <w:spacing w:after="120" w:before="0" w:line="360" w:lineRule="auto"/>
        <w:jc w:val="right"/>
      </w:pPr>
      <w:r>
        <w:rPr>
          <w:rFonts w:ascii="宋体" w:hAnsi="宋体" w:eastAsia="宋体"/>
          <w:b w:val="0"/>
          <w:sz w:val="24"/>
        </w:rPr>
        <w:t>作品小组全体成员</w:t>
      </w:r>
    </w:p>
    <w:p>
      <w:pPr>
        <w:spacing w:after="120" w:before="0" w:line="360" w:lineRule="auto"/>
        <w:jc w:val="right"/>
      </w:pPr>
      <w:r>
        <w:rPr>
          <w:rFonts w:ascii="宋体" w:hAnsi="宋体" w:eastAsia="宋体"/>
          <w:b w:val="0"/>
          <w:sz w:val="24"/>
        </w:rPr>
        <w:t>日期：2026 年 ____ 月 ____ 日</w:t>
      </w:r>
    </w:p>
    <w:p>
      <w:r>
        <w:br w:type="page"/>
      </w:r>
    </w:p>
    <w:p>
      <w:pPr>
        <w:spacing w:after="280" w:before="0" w:line="312" w:lineRule="auto"/>
        <w:jc w:val="center"/>
      </w:pPr>
      <w:r>
        <w:rPr>
          <w:rFonts w:ascii="黑体" w:hAnsi="黑体" w:eastAsia="黑体"/>
          <w:b/>
          <w:sz w:val="32"/>
        </w:rPr>
        <w:t>目  录</w:t>
      </w:r>
    </w:p>
    <w:p>
      <w:r>
        <w:fldChar w:fldCharType="begin"/>
        <w:instrText xml:space="preserve">TOC \o "1-2" \h \z \u</w:instrText>
        <w:fldChar w:fldCharType="separate"/>
        <w:t>（打开后按 F9 更新目录）</w:t>
        <w:fldChar w:fldCharType="end"/>
      </w:r>
    </w:p>
    <w:p>
      <w:pPr>
        <w:pStyle w:val="Heading1"/>
        <w:spacing w:line="336" w:lineRule="auto" w:before="120" w:after="240"/>
      </w:pPr>
      <w:r>
        <w:rPr>
          <w:rFonts w:ascii="黑体" w:hAnsi="黑体" w:eastAsia="黑体"/>
          <w:b/>
          <w:color w:val="1E40AF"/>
          <w:sz w:val="32"/>
        </w:rPr>
        <w:t>一、作品概述</w:t>
      </w:r>
    </w:p>
    <w:p>
      <w:pPr>
        <w:pStyle w:val="Heading2"/>
        <w:spacing w:line="336" w:lineRule="auto" w:before="200" w:after="120"/>
      </w:pPr>
      <w:r>
        <w:rPr>
          <w:rFonts w:ascii="黑体" w:hAnsi="黑体" w:eastAsia="黑体"/>
          <w:b/>
          <w:color w:val="222222"/>
          <w:sz w:val="27"/>
        </w:rPr>
        <w:t>（一）项目背景与选题由来</w:t>
      </w:r>
    </w:p>
    <w:p>
      <w:pPr>
        <w:spacing w:after="120" w:before="0" w:line="360" w:lineRule="auto"/>
        <w:ind w:firstLine="480"/>
      </w:pPr>
      <w:r>
        <w:rPr>
          <w:rFonts w:ascii="宋体" w:hAnsi="宋体" w:eastAsia="宋体"/>
          <w:b w:val="0"/>
          <w:sz w:val="24"/>
        </w:rPr>
        <w:t>随着大语言模型在企业场景中的规模化落地，AI Agent 已经不只是“会聊天的助手”，而是能够调用工具、读写数据库、发起支付、操作工单的业务执行体。能力边界的扩张同时带来了全新的攻击面：提示注入可以让 Agent 越过系统指令，间接注入可以让一份被检索到的文档变成攻击载荷，工具滥用可以让一次“看起来正常”的调用转走一笔资金。传统安全测试的问卷、渗透与代码审计，都无法覆盖这类“用自然语言驱动、以概率方式响应”的风险。</w:t>
      </w:r>
    </w:p>
    <w:p>
      <w:pPr>
        <w:spacing w:after="120" w:before="0" w:line="360" w:lineRule="auto"/>
        <w:ind w:firstLine="480"/>
      </w:pPr>
      <w:r>
        <w:rPr>
          <w:rFonts w:ascii="宋体" w:hAnsi="宋体" w:eastAsia="宋体"/>
          <w:b w:val="0"/>
          <w:sz w:val="24"/>
        </w:rPr>
        <w:t>本项目小组在调研中发现，当前企业在 Agent 安全上普遍面临三个现实困境：一是“测不出”，攻击手法停留在零散的人工尝试，无法枚举、无法复现；二是“判不准”，模型输出没有确定性的对错，人工目测既慢又容易漏报；三是“改不动”，即使发现了问题，也缺少根因定位与可验证的修复手段，评测报告往往止步于“建议加强防护”。</w:t>
      </w:r>
    </w:p>
    <w:p>
      <w:pPr>
        <w:spacing w:after="120" w:before="0" w:line="360" w:lineRule="auto"/>
        <w:ind w:firstLine="480"/>
      </w:pPr>
      <w:r>
        <w:rPr>
          <w:rFonts w:ascii="宋体" w:hAnsi="宋体" w:eastAsia="宋体"/>
          <w:b w:val="0"/>
          <w:sz w:val="24"/>
        </w:rPr>
        <w:t>基于上述判断，小组决定开发 XIAN —— 一套面向企业自研 Agent 的安全评测与持续运营平台，把传统渗透测试中已经成熟的“红蓝对抗”方法论，系统化地迁移到 AI Agent 场景。</w:t>
      </w:r>
    </w:p>
    <w:p>
      <w:pPr>
        <w:pStyle w:val="Heading2"/>
        <w:spacing w:line="336" w:lineRule="auto" w:before="200" w:after="120"/>
      </w:pPr>
      <w:r>
        <w:rPr>
          <w:rFonts w:ascii="黑体" w:hAnsi="黑体" w:eastAsia="黑体"/>
          <w:b/>
          <w:color w:val="222222"/>
          <w:sz w:val="27"/>
        </w:rPr>
        <w:t>（二）作品定位</w:t>
      </w:r>
    </w:p>
    <w:p>
      <w:pPr>
        <w:spacing w:after="120" w:before="0" w:line="360" w:lineRule="auto"/>
        <w:ind w:firstLine="480"/>
      </w:pPr>
      <w:r>
        <w:rPr>
          <w:rFonts w:ascii="宋体" w:hAnsi="宋体" w:eastAsia="宋体"/>
          <w:b w:val="0"/>
          <w:sz w:val="24"/>
        </w:rPr>
        <w:t>XIAN 的定位可以概括为三个词：测得出、判得准、改得动。</w:t>
      </w:r>
    </w:p>
    <w:p>
      <w:pPr>
        <w:spacing w:after="80" w:line="336" w:lineRule="auto"/>
        <w:ind w:left="510" w:hanging="312"/>
      </w:pPr>
      <w:r>
        <w:rPr>
          <w:rFonts w:ascii="宋体" w:hAnsi="宋体" w:eastAsia="宋体"/>
          <w:b w:val="0"/>
          <w:sz w:val="23"/>
        </w:rPr>
        <w:t xml:space="preserve">● </w:t>
      </w:r>
      <w:r>
        <w:rPr>
          <w:rFonts w:ascii="宋体" w:hAnsi="宋体" w:eastAsia="宋体"/>
          <w:b/>
          <w:sz w:val="23"/>
        </w:rPr>
        <w:t xml:space="preserve">测得出 —— </w:t>
      </w:r>
      <w:r>
        <w:rPr>
          <w:rFonts w:ascii="宋体" w:hAnsi="宋体" w:eastAsia="宋体"/>
          <w:b w:val="0"/>
          <w:sz w:val="23"/>
        </w:rPr>
        <w:t>把提示注入、越狱、工具滥用、数据渗出等风险，固化为 14 类可枚举、可执行、可复现的攻击矩阵，而不是零散的人工尝试。</w:t>
      </w:r>
    </w:p>
    <w:p>
      <w:pPr>
        <w:spacing w:after="80" w:line="336" w:lineRule="auto"/>
        <w:ind w:left="510" w:hanging="312"/>
      </w:pPr>
      <w:r>
        <w:rPr>
          <w:rFonts w:ascii="宋体" w:hAnsi="宋体" w:eastAsia="宋体"/>
          <w:b w:val="0"/>
          <w:sz w:val="23"/>
        </w:rPr>
        <w:t xml:space="preserve">● </w:t>
      </w:r>
      <w:r>
        <w:rPr>
          <w:rFonts w:ascii="宋体" w:hAnsi="宋体" w:eastAsia="宋体"/>
          <w:b/>
          <w:sz w:val="23"/>
        </w:rPr>
        <w:t xml:space="preserve">判得准 —— </w:t>
      </w:r>
      <w:r>
        <w:rPr>
          <w:rFonts w:ascii="宋体" w:hAnsi="宋体" w:eastAsia="宋体"/>
          <w:b w:val="0"/>
          <w:sz w:val="23"/>
        </w:rPr>
        <w:t>用“黄金信号 → 分类器 → LLM”三级裁判替代人工目测。黄金信号（蜜标命中、真实外联、系统提示词泄露、工具越权、注入执行痕迹）零漏报，保证真正的风险不被放过。</w:t>
      </w:r>
    </w:p>
    <w:p>
      <w:pPr>
        <w:spacing w:after="80" w:line="336" w:lineRule="auto"/>
        <w:ind w:left="510" w:hanging="312"/>
      </w:pPr>
      <w:r>
        <w:rPr>
          <w:rFonts w:ascii="宋体" w:hAnsi="宋体" w:eastAsia="宋体"/>
          <w:b w:val="0"/>
          <w:sz w:val="23"/>
        </w:rPr>
        <w:t xml:space="preserve">● </w:t>
      </w:r>
      <w:r>
        <w:rPr>
          <w:rFonts w:ascii="宋体" w:hAnsi="宋体" w:eastAsia="宋体"/>
          <w:b/>
          <w:sz w:val="23"/>
        </w:rPr>
        <w:t xml:space="preserve">改得动 —— </w:t>
      </w:r>
      <w:r>
        <w:rPr>
          <w:rFonts w:ascii="宋体" w:hAnsi="宋体" w:eastAsia="宋体"/>
          <w:b w:val="0"/>
          <w:sz w:val="23"/>
        </w:rPr>
        <w:t>每条命中都有根因定位与可执行的修复建议（prompt diff / 规则 / 代码片段），并支持一键复测验证修复效果，形成“攻击 → 判定 → 修复 → 复测”的闭环。</w:t>
      </w:r>
    </w:p>
    <w:p>
      <w:pPr>
        <w:pStyle w:val="Heading2"/>
        <w:spacing w:line="336" w:lineRule="auto" w:before="200" w:after="120"/>
      </w:pPr>
      <w:r>
        <w:rPr>
          <w:rFonts w:ascii="黑体" w:hAnsi="黑体" w:eastAsia="黑体"/>
          <w:b/>
          <w:color w:val="222222"/>
          <w:sz w:val="27"/>
        </w:rPr>
        <w:t>（三）两种作战模式</w:t>
      </w:r>
    </w:p>
    <w:p>
      <w:pPr>
        <w:spacing w:after="120" w:line="360" w:lineRule="auto"/>
        <w:ind w:firstLine="480"/>
      </w:pPr>
      <w:r>
        <w:rPr>
          <w:rFonts w:ascii="宋体" w:hAnsi="宋体" w:eastAsia="宋体"/>
          <w:b w:val="0"/>
          <w:sz w:val="24"/>
        </w:rPr>
        <w:t>模式一 · 系统自动攻击：</w:t>
      </w:r>
      <w:r>
        <w:rPr>
          <w:rFonts w:ascii="宋体" w:hAnsi="宋体" w:eastAsia="宋体"/>
          <w:b/>
          <w:sz w:val="24"/>
        </w:rPr>
        <w:t>配置战役后，由系统红军引擎自动完成侦察、策略规划、载荷变异与执行，并自动产出九章评测报告，全过程实时可视。适合作为常态化安全体检与 CI 回归节拍。</w:t>
      </w:r>
    </w:p>
    <w:p>
      <w:pPr>
        <w:spacing w:after="120" w:line="360" w:lineRule="auto"/>
        <w:ind w:firstLine="480"/>
      </w:pPr>
      <w:r>
        <w:rPr>
          <w:rFonts w:ascii="宋体" w:hAnsi="宋体" w:eastAsia="宋体"/>
          <w:b w:val="0"/>
          <w:sz w:val="24"/>
        </w:rPr>
        <w:t>模式二 · 用户手动攻击（沙盘推演）：</w:t>
      </w:r>
      <w:r>
        <w:rPr>
          <w:rFonts w:ascii="宋体" w:hAnsi="宋体" w:eastAsia="宋体"/>
          <w:b/>
          <w:sz w:val="24"/>
        </w:rPr>
        <w:t>PvE 十关教案，用户亲手出牌，配合提示系统、能量机制、徽章成就与攻守互换，把安全能力训练做成可上手的课程。适合作为安全团队的能力培养与教学场景。</w:t>
      </w:r>
    </w:p>
    <w:p>
      <w:pPr>
        <w:pStyle w:val="Heading2"/>
        <w:spacing w:line="336" w:lineRule="auto" w:before="200" w:after="120"/>
      </w:pPr>
      <w:r>
        <w:rPr>
          <w:rFonts w:ascii="黑体" w:hAnsi="黑体" w:eastAsia="黑体"/>
          <w:b/>
          <w:color w:val="222222"/>
          <w:sz w:val="27"/>
        </w:rPr>
        <w:t>（四）作品形态与移动端适配</w:t>
      </w:r>
    </w:p>
    <w:p>
      <w:pPr>
        <w:spacing w:after="120" w:before="0" w:line="360" w:lineRule="auto"/>
        <w:ind w:firstLine="480"/>
      </w:pPr>
      <w:r>
        <w:rPr>
          <w:rFonts w:ascii="宋体" w:hAnsi="宋体" w:eastAsia="宋体"/>
          <w:b w:val="0"/>
          <w:sz w:val="24"/>
        </w:rPr>
        <w:t>XIAN 是一套 B/S 架构平台，前端为单页应用，后端为 HTTP + WebSocket 服务。针对移动互联网使用场景，前端采用响应式栅格与自适应断点设计，页面在手机浏览器上可完整访问：顶部导航折叠为抽屉菜单，三栏拖拽面板退化为纵向堆叠，数据表格切换为卡片式列表，登录页的漂浮装饰卡片在窄屏下仅保留上沿元素以避免遮挡表单。所有交互元素的可点击区域不小于 44×44 px，满足移动端触控规范。</w:t>
      </w:r>
    </w:p>
    <w:p>
      <w:pPr>
        <w:spacing w:after="120" w:before="0" w:line="360" w:lineRule="auto"/>
        <w:ind w:firstLine="480"/>
      </w:pPr>
      <w:r>
        <w:rPr>
          <w:rFonts w:ascii="宋体" w:hAnsi="宋体" w:eastAsia="宋体"/>
          <w:b w:val="0"/>
          <w:sz w:val="24"/>
        </w:rPr>
        <w:t>需要说明的是，本作品的核心能力（Agent 接入、战役编排、三级裁判、报告与复测）依赖后端服务与数据库协同，属于典型的“重服务、轻客户端”形态，因此客户端以移动浏览器 Web 应用方式交付，并未单独开发原生 Android 客户端；移动端与桌面端共用同一套前端代码与接口契约，不存在功能差异。</w:t>
      </w:r>
    </w:p>
    <w:p>
      <w:pPr>
        <w:pStyle w:val="Heading1"/>
        <w:spacing w:line="336" w:lineRule="auto" w:before="120" w:after="240"/>
      </w:pPr>
      <w:r>
        <w:rPr>
          <w:rFonts w:ascii="黑体" w:hAnsi="黑体" w:eastAsia="黑体"/>
          <w:b/>
          <w:color w:val="1E40AF"/>
          <w:sz w:val="32"/>
        </w:rPr>
        <w:t>二、作品可行性分析和目标群体</w:t>
      </w:r>
    </w:p>
    <w:p>
      <w:pPr>
        <w:pStyle w:val="Heading2"/>
        <w:spacing w:line="336" w:lineRule="auto" w:before="200" w:after="120"/>
      </w:pPr>
      <w:r>
        <w:rPr>
          <w:rFonts w:ascii="黑体" w:hAnsi="黑体" w:eastAsia="黑体"/>
          <w:b/>
          <w:color w:val="222222"/>
          <w:sz w:val="27"/>
        </w:rPr>
        <w:t>（一）可行性分析</w:t>
      </w:r>
    </w:p>
    <w:p>
      <w:pPr>
        <w:pStyle w:val="Heading3"/>
        <w:spacing w:line="336" w:lineRule="auto" w:before="160" w:after="80"/>
      </w:pPr>
      <w:r>
        <w:rPr>
          <w:rFonts w:ascii="黑体" w:hAnsi="黑体" w:eastAsia="黑体"/>
          <w:b/>
          <w:color w:val="333333"/>
          <w:sz w:val="24"/>
        </w:rPr>
        <w:t>1. 技术可行性</w:t>
      </w:r>
    </w:p>
    <w:p>
      <w:pPr>
        <w:spacing w:after="120" w:before="0" w:line="360" w:lineRule="auto"/>
        <w:ind w:firstLine="480"/>
      </w:pPr>
      <w:r>
        <w:rPr>
          <w:rFonts w:ascii="宋体" w:hAnsi="宋体" w:eastAsia="宋体"/>
          <w:b w:val="0"/>
          <w:sz w:val="24"/>
        </w:rPr>
        <w:t>本作品的技术选型全部采用成熟且社区活跃的开源栈，不存在需要从零攻关的底层技术风险。后端基于 Python 3.12 + FastAPI 提供异步 HTTP 服务，用 SQLAlchemy 2.0（async）统一访问数据库；攻击链路建模为有向无环图（DAG），由红军引擎按阶段推进；判定环节的三级裁判以规则库（YAML）固化确定性证据，再逐级下沉到分类器与 LLM。前端基于 React 19 + TypeScript + Vite 构建，通过 OpenAPI 契约与后端对齐，类型可在编译期静态检查。</w:t>
      </w:r>
    </w:p>
    <w:p>
      <w:pPr>
        <w:spacing w:after="120" w:before="0" w:line="360" w:lineRule="auto"/>
        <w:ind w:firstLine="480"/>
      </w:pPr>
      <w:r>
        <w:rPr>
          <w:rFonts w:ascii="宋体" w:hAnsi="宋体" w:eastAsia="宋体"/>
          <w:b w:val="0"/>
          <w:sz w:val="24"/>
        </w:rPr>
        <w:t>为验证技术路线的可行性，小组在开发过程中完成了两项关键验证：一是核心层（xian_core，22 个业务包）完全不依赖 FastAPI 与 Celery，同一份业务逻辑被 HTTP 路由、异步任务与命令行门禁三方复用，从结构上排除了“接口里一套、任务里一套”的分叉风险；二是实现了确定性离线回放，在没有任何 LLM 凭证的情况下，网关按角色返回确定性响应，使全流程可在离线环境跑通与验证。</w:t>
      </w:r>
    </w:p>
    <w:p>
      <w:pPr>
        <w:pStyle w:val="Heading3"/>
        <w:spacing w:line="336" w:lineRule="auto" w:before="160" w:after="80"/>
      </w:pPr>
      <w:r>
        <w:rPr>
          <w:rFonts w:ascii="黑体" w:hAnsi="黑体" w:eastAsia="黑体"/>
          <w:b/>
          <w:color w:val="333333"/>
          <w:sz w:val="24"/>
        </w:rPr>
        <w:t>2. 操作可行性</w:t>
      </w:r>
    </w:p>
    <w:p>
      <w:pPr>
        <w:spacing w:after="120" w:before="0" w:line="360" w:lineRule="auto"/>
        <w:ind w:firstLine="480"/>
      </w:pPr>
      <w:r>
        <w:rPr>
          <w:rFonts w:ascii="宋体" w:hAnsi="宋体" w:eastAsia="宋体"/>
          <w:b w:val="0"/>
          <w:sz w:val="24"/>
        </w:rPr>
        <w:t>平台的操作对象是安全工程师与 AI 应用研发人员，二者均具备使用浏览器控制台的经验。小组在交互设计上做了三项降低门槛的工作：一是把复杂的战役配置拆解为“选目标 → 选范围 → 设预算”三步向导；二是把三级裁判的判定过程完整可视化，每条命中都能下钻到原始 trace 与裁判流水，用户不需要理解内部实现即可判断结论是否可信；三是模式二把安全知识包装为关卡与提示，新手可以依靠提示系统逐步理解攻击原理。</w:t>
      </w:r>
    </w:p>
    <w:p>
      <w:pPr>
        <w:spacing w:after="120" w:before="0" w:line="360" w:lineRule="auto"/>
        <w:ind w:firstLine="480"/>
      </w:pPr>
      <w:r>
        <w:rPr>
          <w:rFonts w:ascii="宋体" w:hAnsi="宋体" w:eastAsia="宋体"/>
          <w:b w:val="0"/>
          <w:sz w:val="24"/>
        </w:rPr>
        <w:t>此外，平台提供跨平台一键入口脚本，安装、初始化种子数据、启动服务、执行自检均可通过单条命令完成，不依赖特定操作系统，在 Windows / Linux / macOS 上表现一致，进一步降低了部署与演示的操作成本。</w:t>
      </w:r>
    </w:p>
    <w:p>
      <w:pPr>
        <w:pStyle w:val="Heading3"/>
        <w:spacing w:line="336" w:lineRule="auto" w:before="160" w:after="80"/>
      </w:pPr>
      <w:r>
        <w:rPr>
          <w:rFonts w:ascii="黑体" w:hAnsi="黑体" w:eastAsia="黑体"/>
          <w:b/>
          <w:color w:val="333333"/>
          <w:sz w:val="24"/>
        </w:rPr>
        <w:t>3. 经济可行性</w:t>
      </w:r>
    </w:p>
    <w:p>
      <w:pPr>
        <w:spacing w:after="120" w:before="0" w:line="360" w:lineRule="auto"/>
        <w:ind w:firstLine="480"/>
      </w:pPr>
      <w:r>
        <w:rPr>
          <w:rFonts w:ascii="宋体" w:hAnsi="宋体" w:eastAsia="宋体"/>
          <w:b w:val="0"/>
          <w:sz w:val="24"/>
        </w:rPr>
        <w:t>平台本身基于开源组件构建，无商业授权费用。运行成本主要来自 LLM 调用，而这一项通过两级设计被显著压低：其一，三级裁判中成本最低的黄金信号规则优先命中，只有规则无法覆盖的样本才会下沉到 LLM 判定，实测可将 LLM 调用量压到可控范围；其二，网关内置角色路由与成本账本，可对不同角色分别指定模型，例如裁判角色使用较小模型、只把复杂样本交给大模型。对于预算有限的团队，平台支持完全不配置 LLM 凭证，以确定性离线回放方式完成功能性验证与流程演示。</w:t>
      </w:r>
    </w:p>
    <w:p>
      <w:pPr>
        <w:spacing w:after="120" w:before="0" w:line="360" w:lineRule="auto"/>
        <w:ind w:firstLine="480"/>
      </w:pPr>
      <w:r>
        <w:rPr>
          <w:rFonts w:ascii="宋体" w:hAnsi="宋体" w:eastAsia="宋体"/>
          <w:b w:val="0"/>
          <w:sz w:val="24"/>
        </w:rPr>
        <w:t>从投入产出看，一次完整的自动化演练可在数十分钟内覆盖 14 类攻击、产出九章报告与可执行修复建议，相比人工渗透测试在时间成本上具备明显优势；而 CI 回归门禁把“安全评测”从一次性项目变成版本迭代中的常规节拍，使投入能够在每一次版本发布中持续产生价值。</w:t>
      </w:r>
    </w:p>
    <w:p>
      <w:pPr>
        <w:pStyle w:val="Heading2"/>
        <w:spacing w:line="336" w:lineRule="auto" w:before="200" w:after="120"/>
      </w:pPr>
      <w:r>
        <w:rPr>
          <w:rFonts w:ascii="黑体" w:hAnsi="黑体" w:eastAsia="黑体"/>
          <w:b/>
          <w:color w:val="222222"/>
          <w:sz w:val="27"/>
        </w:rPr>
        <w:t>（二）目标群体</w:t>
      </w:r>
    </w:p>
    <w:p>
      <w:pPr>
        <w:spacing w:after="120" w:before="0" w:line="360" w:lineRule="auto"/>
        <w:ind w:firstLine="480"/>
      </w:pPr>
      <w:r>
        <w:rPr>
          <w:rFonts w:ascii="宋体" w:hAnsi="宋体" w:eastAsia="宋体"/>
          <w:b w:val="0"/>
          <w:sz w:val="24"/>
        </w:rPr>
        <w:t>本作品面向的主要是四类用户：</w:t>
      </w:r>
    </w:p>
    <w:p>
      <w:pPr>
        <w:spacing w:after="80" w:line="336" w:lineRule="auto"/>
        <w:ind w:left="510" w:hanging="312"/>
      </w:pPr>
      <w:r>
        <w:rPr>
          <w:rFonts w:ascii="宋体" w:hAnsi="宋体" w:eastAsia="宋体"/>
          <w:b w:val="0"/>
          <w:sz w:val="23"/>
        </w:rPr>
        <w:t xml:space="preserve">● </w:t>
      </w:r>
      <w:r>
        <w:rPr>
          <w:rFonts w:ascii="宋体" w:hAnsi="宋体" w:eastAsia="宋体"/>
          <w:b/>
          <w:sz w:val="23"/>
        </w:rPr>
        <w:t>1）企业安全团队（甲方安全）：</w:t>
      </w:r>
      <w:r>
        <w:rPr>
          <w:rFonts w:ascii="宋体" w:hAnsi="宋体" w:eastAsia="宋体"/>
          <w:b w:val="0"/>
          <w:sz w:val="23"/>
        </w:rPr>
        <w:t>负责自研 Agent 上线前安全评审与上线后持续监控的团队。他们的核心诉求是“测得出、判得准”，需要可枚举的攻击覆盖与可信的判定结论。</w:t>
      </w:r>
    </w:p>
    <w:p>
      <w:pPr>
        <w:spacing w:after="80" w:line="336" w:lineRule="auto"/>
        <w:ind w:left="510" w:hanging="312"/>
      </w:pPr>
      <w:r>
        <w:rPr>
          <w:rFonts w:ascii="宋体" w:hAnsi="宋体" w:eastAsia="宋体"/>
          <w:b w:val="0"/>
          <w:sz w:val="23"/>
        </w:rPr>
        <w:t xml:space="preserve">● </w:t>
      </w:r>
      <w:r>
        <w:rPr>
          <w:rFonts w:ascii="宋体" w:hAnsi="宋体" w:eastAsia="宋体"/>
          <w:b/>
          <w:sz w:val="23"/>
        </w:rPr>
        <w:t>2）AI 应用研发团队：</w:t>
      </w:r>
      <w:r>
        <w:rPr>
          <w:rFonts w:ascii="宋体" w:hAnsi="宋体" w:eastAsia="宋体"/>
          <w:b w:val="0"/>
          <w:sz w:val="23"/>
        </w:rPr>
        <w:t>正在把大模型能力接入业务系统的开发者。他们需要在上线前知道自己写的系统提示词与工具声明是否留有破绽，并希望拿到可直接应用的修复建议。</w:t>
      </w:r>
    </w:p>
    <w:p>
      <w:pPr>
        <w:spacing w:after="80" w:line="336" w:lineRule="auto"/>
        <w:ind w:left="510" w:hanging="312"/>
      </w:pPr>
      <w:r>
        <w:rPr>
          <w:rFonts w:ascii="宋体" w:hAnsi="宋体" w:eastAsia="宋体"/>
          <w:b w:val="0"/>
          <w:sz w:val="23"/>
        </w:rPr>
        <w:t xml:space="preserve">● </w:t>
      </w:r>
      <w:r>
        <w:rPr>
          <w:rFonts w:ascii="宋体" w:hAnsi="宋体" w:eastAsia="宋体"/>
          <w:b/>
          <w:sz w:val="23"/>
        </w:rPr>
        <w:t>3）高校与培训机构：</w:t>
      </w:r>
      <w:r>
        <w:rPr>
          <w:rFonts w:ascii="宋体" w:hAnsi="宋体" w:eastAsia="宋体"/>
          <w:b w:val="0"/>
          <w:sz w:val="23"/>
        </w:rPr>
        <w:t>开设网络空间安全、人工智能安全相关课程，需要一套可上手、可复现、可评分的实训平台，把抽象的攻击原理变成可操作的关卡。</w:t>
      </w:r>
    </w:p>
    <w:p>
      <w:pPr>
        <w:spacing w:after="80" w:line="336" w:lineRule="auto"/>
        <w:ind w:left="510" w:hanging="312"/>
      </w:pPr>
      <w:r>
        <w:rPr>
          <w:rFonts w:ascii="宋体" w:hAnsi="宋体" w:eastAsia="宋体"/>
          <w:b w:val="0"/>
          <w:sz w:val="23"/>
        </w:rPr>
        <w:t xml:space="preserve">● </w:t>
      </w:r>
      <w:r>
        <w:rPr>
          <w:rFonts w:ascii="宋体" w:hAnsi="宋体" w:eastAsia="宋体"/>
          <w:b/>
          <w:sz w:val="23"/>
        </w:rPr>
        <w:t>4）合规与审计人员：</w:t>
      </w:r>
      <w:r>
        <w:rPr>
          <w:rFonts w:ascii="宋体" w:hAnsi="宋体" w:eastAsia="宋体"/>
          <w:b w:val="0"/>
          <w:sz w:val="23"/>
        </w:rPr>
        <w:t>需要以《生成式人工智能服务管理暂行办法》与 OWASP LLM Top 10 等框架为对照，对 Agent 系统形成可追溯证据链的团队。平台内置框架映射与合规对照能力。</w:t>
      </w:r>
    </w:p>
    <w:p>
      <w:pPr>
        <w:pStyle w:val="Heading3"/>
        <w:spacing w:line="336" w:lineRule="auto" w:before="160" w:after="80"/>
      </w:pPr>
      <w:r>
        <w:rPr>
          <w:rFonts w:ascii="黑体" w:hAnsi="黑体" w:eastAsia="黑体"/>
          <w:b/>
          <w:color w:val="333333"/>
          <w:sz w:val="24"/>
        </w:rPr>
        <w:t>目标群体的需求特征与对应设计</w:t>
      </w:r>
    </w:p>
    <w:p>
      <w:pPr>
        <w:spacing w:after="120" w:before="0" w:line="360" w:lineRule="auto"/>
        <w:ind w:firstLine="480"/>
      </w:pPr>
      <w:r>
        <w:rPr>
          <w:rFonts w:ascii="宋体" w:hAnsi="宋体" w:eastAsia="宋体"/>
          <w:b w:val="0"/>
          <w:sz w:val="24"/>
        </w:rPr>
        <w:t>小组在调研中归纳了目标用户的四项典型需求，并在设计中逐条对应：</w:t>
      </w:r>
    </w:p>
    <w:p>
      <w:pPr>
        <w:spacing w:after="80" w:line="336" w:lineRule="auto"/>
        <w:ind w:left="510" w:hanging="312"/>
      </w:pPr>
      <w:r>
        <w:rPr>
          <w:rFonts w:ascii="宋体" w:hAnsi="宋体" w:eastAsia="宋体"/>
          <w:b w:val="0"/>
          <w:sz w:val="23"/>
        </w:rPr>
        <w:t xml:space="preserve">● </w:t>
      </w:r>
      <w:r>
        <w:rPr>
          <w:rFonts w:ascii="宋体" w:hAnsi="宋体" w:eastAsia="宋体"/>
          <w:b/>
          <w:sz w:val="23"/>
        </w:rPr>
        <w:t>1）零漏报优先：</w:t>
      </w:r>
      <w:r>
        <w:rPr>
          <w:rFonts w:ascii="宋体" w:hAnsi="宋体" w:eastAsia="宋体"/>
          <w:b w:val="0"/>
          <w:sz w:val="23"/>
        </w:rPr>
        <w:t>安全团队无法接受“关键风险被漏判”，因此平台把黄金信号（蜜标命中、越权工具调用、白名单外外联、可执行结构输出等）设为最高优先级，命中即判定成功，不经过任何概率性环节。</w:t>
      </w:r>
    </w:p>
    <w:p>
      <w:pPr>
        <w:spacing w:after="80" w:line="336" w:lineRule="auto"/>
        <w:ind w:left="510" w:hanging="312"/>
      </w:pPr>
      <w:r>
        <w:rPr>
          <w:rFonts w:ascii="宋体" w:hAnsi="宋体" w:eastAsia="宋体"/>
          <w:b w:val="0"/>
          <w:sz w:val="23"/>
        </w:rPr>
        <w:t xml:space="preserve">● </w:t>
      </w:r>
      <w:r>
        <w:rPr>
          <w:rFonts w:ascii="宋体" w:hAnsi="宋体" w:eastAsia="宋体"/>
          <w:b/>
          <w:sz w:val="23"/>
        </w:rPr>
        <w:t>2）修复可落地：</w:t>
      </w:r>
      <w:r>
        <w:rPr>
          <w:rFonts w:ascii="宋体" w:hAnsi="宋体" w:eastAsia="宋体"/>
          <w:b w:val="0"/>
          <w:sz w:val="23"/>
        </w:rPr>
        <w:t>研发人员关心的是“我该怎么改”，因此平台为每条命中提供根因分类与修复产物，并支持应用修复后一键复测同一条攻击，用判定结果的变化直接验证修复是否生效。</w:t>
      </w:r>
    </w:p>
    <w:p>
      <w:pPr>
        <w:spacing w:after="80" w:line="336" w:lineRule="auto"/>
        <w:ind w:left="510" w:hanging="312"/>
      </w:pPr>
      <w:r>
        <w:rPr>
          <w:rFonts w:ascii="宋体" w:hAnsi="宋体" w:eastAsia="宋体"/>
          <w:b w:val="0"/>
          <w:sz w:val="23"/>
        </w:rPr>
        <w:t xml:space="preserve">● </w:t>
      </w:r>
      <w:r>
        <w:rPr>
          <w:rFonts w:ascii="宋体" w:hAnsi="宋体" w:eastAsia="宋体"/>
          <w:b/>
          <w:sz w:val="23"/>
        </w:rPr>
        <w:t>3）结论可汇报：</w:t>
      </w:r>
      <w:r>
        <w:rPr>
          <w:rFonts w:ascii="宋体" w:hAnsi="宋体" w:eastAsia="宋体"/>
          <w:b w:val="0"/>
          <w:sz w:val="23"/>
        </w:rPr>
        <w:t>安全负责人需要向上汇报，因此平台把多维判定结果聚合为 0–100 的 SecScore 分数与 S/A/B/C/D 评级，并保留趋势点，使版本间的安全水位变化可被量化追踪。</w:t>
      </w:r>
    </w:p>
    <w:p>
      <w:pPr>
        <w:spacing w:after="80" w:line="336" w:lineRule="auto"/>
        <w:ind w:left="510" w:hanging="312"/>
      </w:pPr>
      <w:r>
        <w:rPr>
          <w:rFonts w:ascii="宋体" w:hAnsi="宋体" w:eastAsia="宋体"/>
          <w:b w:val="0"/>
          <w:sz w:val="23"/>
        </w:rPr>
        <w:t xml:space="preserve">● </w:t>
      </w:r>
      <w:r>
        <w:rPr>
          <w:rFonts w:ascii="宋体" w:hAnsi="宋体" w:eastAsia="宋体"/>
          <w:b/>
          <w:sz w:val="23"/>
        </w:rPr>
        <w:t>4）授权与合规：</w:t>
      </w:r>
      <w:r>
        <w:rPr>
          <w:rFonts w:ascii="宋体" w:hAnsi="宋体" w:eastAsia="宋体"/>
          <w:b w:val="0"/>
          <w:sz w:val="23"/>
        </w:rPr>
        <w:t>所有演练必须限定在授权范围内，因此平台强制要求 Agent 先完成归属校验（DNS TXT 记录或镜像摘要比对）才能作为攻击目标，未通过校验的目标一律拒绝执行；沙箱实例的出网流量经默认拒绝的白名单代理转发，命中蜜标域名即记录并可追溯。</w:t>
      </w:r>
    </w:p>
    <w:p>
      <w:pPr>
        <w:pStyle w:val="Heading1"/>
        <w:spacing w:line="336" w:lineRule="auto" w:before="120" w:after="240"/>
      </w:pPr>
      <w:r>
        <w:rPr>
          <w:rFonts w:ascii="黑体" w:hAnsi="黑体" w:eastAsia="黑体"/>
          <w:b/>
          <w:color w:val="1E40AF"/>
          <w:sz w:val="32"/>
        </w:rPr>
        <w:t>三、作品功能与原型设计</w:t>
      </w:r>
    </w:p>
    <w:p>
      <w:pPr>
        <w:pStyle w:val="Heading2"/>
        <w:spacing w:line="336" w:lineRule="auto" w:before="200" w:after="120"/>
      </w:pPr>
      <w:r>
        <w:rPr>
          <w:rFonts w:ascii="黑体" w:hAnsi="黑体" w:eastAsia="黑体"/>
          <w:b/>
          <w:color w:val="222222"/>
          <w:sz w:val="27"/>
        </w:rPr>
        <w:t>（一）功能概述</w:t>
      </w:r>
    </w:p>
    <w:p>
      <w:pPr>
        <w:spacing w:after="120" w:before="0" w:line="360" w:lineRule="auto"/>
        <w:ind w:firstLine="480"/>
      </w:pPr>
      <w:r>
        <w:rPr>
          <w:rFonts w:ascii="宋体" w:hAnsi="宋体" w:eastAsia="宋体"/>
          <w:b w:val="0"/>
          <w:sz w:val="24"/>
        </w:rPr>
        <w:t>平台功能按“接入 → 侦察 → 攻击 → 判定 → 评分 → 报告 → 修复 → 复测”的主链路组织，各功能模块及其描述如下表所示。</w:t>
      </w:r>
    </w:p>
    <w:tbl>
      <w:tblPr>
        <w:tblStyle w:val="TableGrid"/>
        <w:tblW w:type="auto" w:w="0"/>
        <w:jc w:val="center"/>
        <w:tblLook w:firstColumn="1" w:firstRow="1" w:lastColumn="0" w:lastRow="0" w:noHBand="0" w:noVBand="1" w:val="04A0"/>
      </w:tblPr>
      <w:tblGrid>
        <w:gridCol w:w="4422"/>
        <w:gridCol w:w="4422"/>
      </w:tblGrid>
      <w:tr>
        <w:tc>
          <w:tcPr>
            <w:tcW w:type="dxa" w:w="2476"/>
            <w:shd w:val="clear" w:color="auto" w:fill="DDE5F5"/>
          </w:tcPr>
          <w:p>
            <w:pPr>
              <w:spacing w:before="40" w:after="40" w:line="276" w:lineRule="auto"/>
              <w:jc w:val="center"/>
            </w:pPr>
            <w:r>
              <w:rPr>
                <w:rFonts w:ascii="黑体" w:hAnsi="黑体" w:eastAsia="黑体"/>
                <w:b/>
                <w:sz w:val="21"/>
              </w:rPr>
              <w:t>功能名称</w:t>
            </w:r>
          </w:p>
        </w:tc>
        <w:tc>
          <w:tcPr>
            <w:tcW w:type="dxa" w:w="6368"/>
            <w:shd w:val="clear" w:color="auto" w:fill="DDE5F5"/>
          </w:tcPr>
          <w:p>
            <w:pPr>
              <w:spacing w:before="40" w:after="40" w:line="276" w:lineRule="auto"/>
              <w:jc w:val="center"/>
            </w:pPr>
            <w:r>
              <w:rPr>
                <w:rFonts w:ascii="黑体" w:hAnsi="黑体" w:eastAsia="黑体"/>
                <w:b/>
                <w:sz w:val="21"/>
              </w:rPr>
              <w:t>功能描述</w:t>
            </w:r>
          </w:p>
        </w:tc>
      </w:tr>
      <w:tr>
        <w:tc>
          <w:tcPr>
            <w:tcW w:type="dxa" w:w="2476"/>
          </w:tcPr>
          <w:p>
            <w:pPr>
              <w:spacing w:before="40" w:after="40" w:line="276" w:lineRule="auto"/>
              <w:jc w:val="center"/>
            </w:pPr>
            <w:r>
              <w:rPr>
                <w:rFonts w:ascii="宋体" w:hAnsi="宋体" w:eastAsia="宋体"/>
                <w:b w:val="0"/>
                <w:sz w:val="21"/>
              </w:rPr>
              <w:t>Agent 资产接入</w:t>
            </w:r>
          </w:p>
        </w:tc>
        <w:tc>
          <w:tcPr>
            <w:tcW w:type="dxa" w:w="6368"/>
          </w:tcPr>
          <w:p>
            <w:pPr>
              <w:spacing w:before="40" w:after="40" w:line="276" w:lineRule="auto"/>
            </w:pPr>
            <w:r>
              <w:rPr>
                <w:rFonts w:ascii="宋体" w:hAnsi="宋体" w:eastAsia="宋体"/>
                <w:b w:val="0"/>
                <w:sz w:val="21"/>
              </w:rPr>
              <w:t>支持 HTTP 端点、SDK、容器镜像三种接入方式，登记被测 Agent 的名称、版本、端点与接入凭据；提供连通性探测，接入后即可验证目标是否可达。</w:t>
            </w:r>
          </w:p>
        </w:tc>
      </w:tr>
      <w:tr>
        <w:tc>
          <w:tcPr>
            <w:tcW w:type="dxa" w:w="2476"/>
          </w:tcPr>
          <w:p>
            <w:pPr>
              <w:spacing w:before="40" w:after="40" w:line="276" w:lineRule="auto"/>
              <w:jc w:val="center"/>
            </w:pPr>
            <w:r>
              <w:rPr>
                <w:rFonts w:ascii="宋体" w:hAnsi="宋体" w:eastAsia="宋体"/>
                <w:b w:val="0"/>
                <w:sz w:val="21"/>
              </w:rPr>
              <w:t>归属校验</w:t>
            </w:r>
          </w:p>
        </w:tc>
        <w:tc>
          <w:tcPr>
            <w:tcW w:type="dxa" w:w="6368"/>
          </w:tcPr>
          <w:p>
            <w:pPr>
              <w:spacing w:before="40" w:after="40" w:line="276" w:lineRule="auto"/>
            </w:pPr>
            <w:r>
              <w:rPr>
                <w:rFonts w:ascii="宋体" w:hAnsi="宋体" w:eastAsia="宋体"/>
                <w:b w:val="0"/>
                <w:sz w:val="21"/>
              </w:rPr>
              <w:t>通过 DNS TXT 记录或镜像摘要比对两种方式确认目标归属。未通过校验的 Agent 不能作为模式一攻击目标，接口层面直接返回 403 拒绝。</w:t>
            </w:r>
          </w:p>
        </w:tc>
      </w:tr>
      <w:tr>
        <w:tc>
          <w:tcPr>
            <w:tcW w:type="dxa" w:w="2476"/>
          </w:tcPr>
          <w:p>
            <w:pPr>
              <w:spacing w:before="40" w:after="40" w:line="276" w:lineRule="auto"/>
              <w:jc w:val="center"/>
            </w:pPr>
            <w:r>
              <w:rPr>
                <w:rFonts w:ascii="宋体" w:hAnsi="宋体" w:eastAsia="宋体"/>
                <w:b w:val="0"/>
                <w:sz w:val="21"/>
              </w:rPr>
              <w:t>侦察</w:t>
            </w:r>
          </w:p>
        </w:tc>
        <w:tc>
          <w:tcPr>
            <w:tcW w:type="dxa" w:w="6368"/>
          </w:tcPr>
          <w:p>
            <w:pPr>
              <w:spacing w:before="40" w:after="40" w:line="276" w:lineRule="auto"/>
            </w:pPr>
            <w:r>
              <w:rPr>
                <w:rFonts w:ascii="宋体" w:hAnsi="宋体" w:eastAsia="宋体"/>
                <w:b w:val="0"/>
                <w:sz w:val="21"/>
              </w:rPr>
              <w:t>向目标发起一组无害探测，识别其工具集合、拒答边界（硬 / 软 / 无）、系统提示词残留与模型指纹，产出画像并据此影响后续策略选择。</w:t>
            </w:r>
          </w:p>
        </w:tc>
      </w:tr>
      <w:tr>
        <w:tc>
          <w:tcPr>
            <w:tcW w:type="dxa" w:w="2476"/>
          </w:tcPr>
          <w:p>
            <w:pPr>
              <w:spacing w:before="40" w:after="40" w:line="276" w:lineRule="auto"/>
              <w:jc w:val="center"/>
            </w:pPr>
            <w:r>
              <w:rPr>
                <w:rFonts w:ascii="宋体" w:hAnsi="宋体" w:eastAsia="宋体"/>
                <w:b w:val="0"/>
                <w:sz w:val="21"/>
              </w:rPr>
              <w:t>靶场场景</w:t>
            </w:r>
          </w:p>
        </w:tc>
        <w:tc>
          <w:tcPr>
            <w:tcW w:type="dxa" w:w="6368"/>
          </w:tcPr>
          <w:p>
            <w:pPr>
              <w:spacing w:before="40" w:after="40" w:line="276" w:lineRule="auto"/>
            </w:pPr>
            <w:r>
              <w:rPr>
                <w:rFonts w:ascii="宋体" w:hAnsi="宋体" w:eastAsia="宋体"/>
                <w:b w:val="0"/>
                <w:sz w:val="21"/>
              </w:rPr>
              <w:t>内置 8 套场景模板，每套包含场景定义、工具清单、蜜标配置、监控项与编排脚本，可为演练提供带蜜标与监控的隔离环境。</w:t>
            </w:r>
          </w:p>
        </w:tc>
      </w:tr>
      <w:tr>
        <w:tc>
          <w:tcPr>
            <w:tcW w:type="dxa" w:w="2476"/>
          </w:tcPr>
          <w:p>
            <w:pPr>
              <w:spacing w:before="40" w:after="40" w:line="276" w:lineRule="auto"/>
              <w:jc w:val="center"/>
            </w:pPr>
            <w:r>
              <w:rPr>
                <w:rFonts w:ascii="宋体" w:hAnsi="宋体" w:eastAsia="宋体"/>
                <w:b w:val="0"/>
                <w:sz w:val="21"/>
              </w:rPr>
              <w:t>攻击矩阵</w:t>
            </w:r>
          </w:p>
        </w:tc>
        <w:tc>
          <w:tcPr>
            <w:tcW w:type="dxa" w:w="6368"/>
          </w:tcPr>
          <w:p>
            <w:pPr>
              <w:spacing w:before="40" w:after="40" w:line="276" w:lineRule="auto"/>
            </w:pPr>
            <w:r>
              <w:rPr>
                <w:rFonts w:ascii="宋体" w:hAnsi="宋体" w:eastAsia="宋体"/>
                <w:b w:val="0"/>
                <w:sz w:val="21"/>
              </w:rPr>
              <w:t>覆盖 14 类攻击（直接 / 间接提示注入、系统提示词泄露、工具滥用、敏感数据渗出、记忆投毒、供应链风险、资源滥用、幻觉操纵、多智能体攻击、社会工程、输出处理不当、模型逆向、多模态载荷），每类下含可执行用例，并内置 OWASP LLM Top 10、MITRE ATLAS 等框架映射与覆盖率统计。</w:t>
            </w:r>
          </w:p>
        </w:tc>
      </w:tr>
      <w:tr>
        <w:tc>
          <w:tcPr>
            <w:tcW w:type="dxa" w:w="2476"/>
          </w:tcPr>
          <w:p>
            <w:pPr>
              <w:spacing w:before="40" w:after="40" w:line="276" w:lineRule="auto"/>
              <w:jc w:val="center"/>
            </w:pPr>
            <w:r>
              <w:rPr>
                <w:rFonts w:ascii="宋体" w:hAnsi="宋体" w:eastAsia="宋体"/>
                <w:b w:val="0"/>
                <w:sz w:val="21"/>
              </w:rPr>
              <w:t>载荷变异</w:t>
            </w:r>
          </w:p>
        </w:tc>
        <w:tc>
          <w:tcPr>
            <w:tcW w:type="dxa" w:w="6368"/>
          </w:tcPr>
          <w:p>
            <w:pPr>
              <w:spacing w:before="40" w:after="40" w:line="276" w:lineRule="auto"/>
            </w:pPr>
            <w:r>
              <w:rPr>
                <w:rFonts w:ascii="宋体" w:hAnsi="宋体" w:eastAsia="宋体"/>
                <w:b w:val="0"/>
                <w:sz w:val="21"/>
              </w:rPr>
              <w:t>内置多种变异算子（角色替换、编码混淆、分片拼接、上下文淹没、少样本劫持等），对种子用例做改写以生成多样化载荷，每个算子标注是否保持语义安全。</w:t>
            </w:r>
          </w:p>
        </w:tc>
      </w:tr>
      <w:tr>
        <w:tc>
          <w:tcPr>
            <w:tcW w:type="dxa" w:w="2476"/>
          </w:tcPr>
          <w:p>
            <w:pPr>
              <w:spacing w:before="40" w:after="40" w:line="276" w:lineRule="auto"/>
              <w:jc w:val="center"/>
            </w:pPr>
            <w:r>
              <w:rPr>
                <w:rFonts w:ascii="宋体" w:hAnsi="宋体" w:eastAsia="宋体"/>
                <w:b w:val="0"/>
                <w:sz w:val="21"/>
              </w:rPr>
              <w:t>战役编排与执行</w:t>
            </w:r>
          </w:p>
        </w:tc>
        <w:tc>
          <w:tcPr>
            <w:tcW w:type="dxa" w:w="6368"/>
          </w:tcPr>
          <w:p>
            <w:pPr>
              <w:spacing w:before="40" w:after="40" w:line="276" w:lineRule="auto"/>
            </w:pPr>
            <w:r>
              <w:rPr>
                <w:rFonts w:ascii="宋体" w:hAnsi="宋体" w:eastAsia="宋体"/>
                <w:b w:val="0"/>
                <w:sz w:val="21"/>
              </w:rPr>
              <w:t>按目标画像与场景自动选择策略，生成攻击阶段 DAG（侦察 → 初始执行 → 载荷投递 → 权限提升 → 渗出 → 影响），按预算推进执行；内置预算熔断、连续失败换算子、空转收敛等控制机制，避免无效消耗。</w:t>
            </w:r>
          </w:p>
        </w:tc>
      </w:tr>
      <w:tr>
        <w:tc>
          <w:tcPr>
            <w:tcW w:type="dxa" w:w="2476"/>
          </w:tcPr>
          <w:p>
            <w:pPr>
              <w:spacing w:before="40" w:after="40" w:line="276" w:lineRule="auto"/>
              <w:jc w:val="center"/>
            </w:pPr>
            <w:r>
              <w:rPr>
                <w:rFonts w:ascii="宋体" w:hAnsi="宋体" w:eastAsia="宋体"/>
                <w:b w:val="0"/>
                <w:sz w:val="21"/>
              </w:rPr>
              <w:t>三级裁判引擎</w:t>
            </w:r>
          </w:p>
        </w:tc>
        <w:tc>
          <w:tcPr>
            <w:tcW w:type="dxa" w:w="6368"/>
          </w:tcPr>
          <w:p>
            <w:pPr>
              <w:spacing w:before="40" w:after="40" w:line="276" w:lineRule="auto"/>
            </w:pPr>
            <w:r>
              <w:rPr>
                <w:rFonts w:ascii="宋体" w:hAnsi="宋体" w:eastAsia="宋体"/>
                <w:b w:val="0"/>
                <w:sz w:val="21"/>
              </w:rPr>
              <w:t>第一级为黄金信号规则（蜜标命中、越权工具调用、参数越界、白名单外外联、缺少二次确认、输出含可执行结构、密钥正则、记忆写入指令句式、资源耗尽特征等），命中即判定成功；第二级为分类器（拒答、注入成功、敏感信息词表）；第三级为 LLM 双裁判投票，分歧时标记需人工复核。</w:t>
            </w:r>
          </w:p>
        </w:tc>
      </w:tr>
      <w:tr>
        <w:tc>
          <w:tcPr>
            <w:tcW w:type="dxa" w:w="2476"/>
          </w:tcPr>
          <w:p>
            <w:pPr>
              <w:spacing w:before="40" w:after="40" w:line="276" w:lineRule="auto"/>
              <w:jc w:val="center"/>
            </w:pPr>
            <w:r>
              <w:rPr>
                <w:rFonts w:ascii="宋体" w:hAnsi="宋体" w:eastAsia="宋体"/>
                <w:b w:val="0"/>
                <w:sz w:val="21"/>
              </w:rPr>
              <w:t>SecScore 评分</w:t>
            </w:r>
          </w:p>
        </w:tc>
        <w:tc>
          <w:tcPr>
            <w:tcW w:type="dxa" w:w="6368"/>
          </w:tcPr>
          <w:p>
            <w:pPr>
              <w:spacing w:before="40" w:after="40" w:line="276" w:lineRule="auto"/>
            </w:pPr>
            <w:r>
              <w:rPr>
                <w:rFonts w:ascii="宋体" w:hAnsi="宋体" w:eastAsia="宋体"/>
                <w:b w:val="0"/>
                <w:sz w:val="21"/>
              </w:rPr>
              <w:t>按类别权重把判定结果聚合为 0–100 分数与 S/A/B/C/D 评级，输出六个维度的分项得分、攻击成功率（ASR）与趋势点；样本量不足的维度标记为“数据不足”而不计入分母，避免小样本误判。</w:t>
            </w:r>
          </w:p>
        </w:tc>
      </w:tr>
      <w:tr>
        <w:tc>
          <w:tcPr>
            <w:tcW w:type="dxa" w:w="2476"/>
          </w:tcPr>
          <w:p>
            <w:pPr>
              <w:spacing w:before="40" w:after="40" w:line="276" w:lineRule="auto"/>
              <w:jc w:val="center"/>
            </w:pPr>
            <w:r>
              <w:rPr>
                <w:rFonts w:ascii="宋体" w:hAnsi="宋体" w:eastAsia="宋体"/>
                <w:b w:val="0"/>
                <w:sz w:val="21"/>
              </w:rPr>
              <w:t>九章报告</w:t>
            </w:r>
          </w:p>
        </w:tc>
        <w:tc>
          <w:tcPr>
            <w:tcW w:type="dxa" w:w="6368"/>
          </w:tcPr>
          <w:p>
            <w:pPr>
              <w:spacing w:before="40" w:after="40" w:line="276" w:lineRule="auto"/>
            </w:pPr>
            <w:r>
              <w:rPr>
                <w:rFonts w:ascii="宋体" w:hAnsi="宋体" w:eastAsia="宋体"/>
                <w:b w:val="0"/>
                <w:sz w:val="21"/>
              </w:rPr>
              <w:t>自动生成包含执行摘要、目标与范围、方法与矩阵、发现与证据、风险评级、根因分析、修复建议、复测验证、合规映射九个章节的报告，支持 HTML / PDF / JSON 三种格式导出，分享链接带过期时间。</w:t>
            </w:r>
          </w:p>
        </w:tc>
      </w:tr>
      <w:tr>
        <w:tc>
          <w:tcPr>
            <w:tcW w:type="dxa" w:w="2476"/>
          </w:tcPr>
          <w:p>
            <w:pPr>
              <w:spacing w:before="40" w:after="40" w:line="276" w:lineRule="auto"/>
              <w:jc w:val="center"/>
            </w:pPr>
            <w:r>
              <w:rPr>
                <w:rFonts w:ascii="宋体" w:hAnsi="宋体" w:eastAsia="宋体"/>
                <w:b w:val="0"/>
                <w:sz w:val="21"/>
              </w:rPr>
              <w:t>根因定位与修复建议</w:t>
            </w:r>
          </w:p>
        </w:tc>
        <w:tc>
          <w:tcPr>
            <w:tcW w:type="dxa" w:w="6368"/>
          </w:tcPr>
          <w:p>
            <w:pPr>
              <w:spacing w:before="40" w:after="40" w:line="276" w:lineRule="auto"/>
            </w:pPr>
            <w:r>
              <w:rPr>
                <w:rFonts w:ascii="宋体" w:hAnsi="宋体" w:eastAsia="宋体"/>
                <w:b w:val="0"/>
                <w:sz w:val="21"/>
              </w:rPr>
              <w:t>对每条命中定位根因（提示词边界不清、工具声明过宽、参数校验缺失、缺少二次确认、输出未消毒等），并给出可直接应用的修复产物：提示词改写差异、防护规则、代码片段。</w:t>
            </w:r>
          </w:p>
        </w:tc>
      </w:tr>
      <w:tr>
        <w:tc>
          <w:tcPr>
            <w:tcW w:type="dxa" w:w="2476"/>
          </w:tcPr>
          <w:p>
            <w:pPr>
              <w:spacing w:before="40" w:after="40" w:line="276" w:lineRule="auto"/>
              <w:jc w:val="center"/>
            </w:pPr>
            <w:r>
              <w:rPr>
                <w:rFonts w:ascii="宋体" w:hAnsi="宋体" w:eastAsia="宋体"/>
                <w:b w:val="0"/>
                <w:sz w:val="21"/>
              </w:rPr>
              <w:t>一键复测</w:t>
            </w:r>
          </w:p>
        </w:tc>
        <w:tc>
          <w:tcPr>
            <w:tcW w:type="dxa" w:w="6368"/>
          </w:tcPr>
          <w:p>
            <w:pPr>
              <w:spacing w:before="40" w:after="40" w:line="276" w:lineRule="auto"/>
            </w:pPr>
            <w:r>
              <w:rPr>
                <w:rFonts w:ascii="宋体" w:hAnsi="宋体" w:eastAsia="宋体"/>
                <w:b w:val="0"/>
                <w:sz w:val="21"/>
              </w:rPr>
              <w:t>应用修复后，对同一条攻击重新执行并比对修复前后的判定结果与 SecScore 变化，用数据验证修复是否真正生效。</w:t>
            </w:r>
          </w:p>
        </w:tc>
      </w:tr>
      <w:tr>
        <w:tc>
          <w:tcPr>
            <w:tcW w:type="dxa" w:w="2476"/>
          </w:tcPr>
          <w:p>
            <w:pPr>
              <w:spacing w:before="40" w:after="40" w:line="276" w:lineRule="auto"/>
              <w:jc w:val="center"/>
            </w:pPr>
            <w:r>
              <w:rPr>
                <w:rFonts w:ascii="宋体" w:hAnsi="宋体" w:eastAsia="宋体"/>
                <w:b w:val="0"/>
                <w:sz w:val="21"/>
              </w:rPr>
              <w:t>模式二 · 十关教案</w:t>
            </w:r>
          </w:p>
        </w:tc>
        <w:tc>
          <w:tcPr>
            <w:tcW w:type="dxa" w:w="6368"/>
          </w:tcPr>
          <w:p>
            <w:pPr>
              <w:spacing w:before="40" w:after="40" w:line="276" w:lineRule="auto"/>
            </w:pPr>
            <w:r>
              <w:rPr>
                <w:rFonts w:ascii="宋体" w:hAnsi="宋体" w:eastAsia="宋体"/>
                <w:b w:val="0"/>
                <w:sz w:val="21"/>
              </w:rPr>
              <w:t>十关递进式实训，每关绑定一个场景与通过条件；含提示系统（三级提示，消耗不同能量）、能量机制、徽章成就与攻守互换。</w:t>
            </w:r>
          </w:p>
        </w:tc>
      </w:tr>
      <w:tr>
        <w:tc>
          <w:tcPr>
            <w:tcW w:type="dxa" w:w="2476"/>
          </w:tcPr>
          <w:p>
            <w:pPr>
              <w:spacing w:before="40" w:after="40" w:line="276" w:lineRule="auto"/>
              <w:jc w:val="center"/>
            </w:pPr>
            <w:r>
              <w:rPr>
                <w:rFonts w:ascii="宋体" w:hAnsi="宋体" w:eastAsia="宋体"/>
                <w:b w:val="0"/>
                <w:sz w:val="21"/>
              </w:rPr>
              <w:t>治理与审计</w:t>
            </w:r>
          </w:p>
        </w:tc>
        <w:tc>
          <w:tcPr>
            <w:tcW w:type="dxa" w:w="6368"/>
          </w:tcPr>
          <w:p>
            <w:pPr>
              <w:spacing w:before="40" w:after="40" w:line="276" w:lineRule="auto"/>
            </w:pPr>
            <w:r>
              <w:rPr>
                <w:rFonts w:ascii="宋体" w:hAnsi="宋体" w:eastAsia="宋体"/>
                <w:b w:val="0"/>
                <w:sz w:val="21"/>
              </w:rPr>
              <w:t>多租户隔离，五级角色权限（负责人 / 红军 / 蓝军 / 分析师 / 管理员）细到操作粒度；武器库用例的原始载荷导出按角色鉴权并记录审计。</w:t>
            </w:r>
          </w:p>
        </w:tc>
      </w:tr>
    </w:tbl>
    <w:p>
      <w:pPr>
        <w:spacing w:before="60" w:after="200"/>
        <w:jc w:val="center"/>
      </w:pPr>
      <w:r>
        <w:rPr>
          <w:rFonts w:ascii="宋体" w:hAnsi="宋体" w:eastAsia="宋体"/>
          <w:b w:val="0"/>
          <w:color w:val="555555"/>
          <w:sz w:val="21"/>
        </w:rPr>
        <w:t>表 1  XIAN 平台功能概述</w:t>
      </w:r>
    </w:p>
    <w:p>
      <w:pPr>
        <w:pStyle w:val="Heading2"/>
        <w:spacing w:line="336" w:lineRule="auto" w:before="200" w:after="120"/>
      </w:pPr>
      <w:r>
        <w:rPr>
          <w:rFonts w:ascii="黑体" w:hAnsi="黑体" w:eastAsia="黑体"/>
          <w:b/>
          <w:color w:val="222222"/>
          <w:sz w:val="27"/>
        </w:rPr>
        <w:t>（二）原型设计</w:t>
      </w:r>
    </w:p>
    <w:p>
      <w:pPr>
        <w:spacing w:after="120" w:before="0" w:line="360" w:lineRule="auto"/>
        <w:ind w:firstLine="480"/>
      </w:pPr>
      <w:r>
        <w:rPr>
          <w:rFonts w:ascii="宋体" w:hAnsi="宋体" w:eastAsia="宋体"/>
          <w:b w:val="0"/>
          <w:sz w:val="24"/>
        </w:rPr>
        <w:t>实现平台与运行环境：</w:t>
      </w:r>
    </w:p>
    <w:tbl>
      <w:tblPr>
        <w:tblStyle w:val="TableGrid"/>
        <w:tblW w:type="auto" w:w="0"/>
        <w:jc w:val="center"/>
        <w:tblLook w:firstColumn="1" w:firstRow="1" w:lastColumn="0" w:lastRow="0" w:noHBand="0" w:noVBand="1" w:val="04A0"/>
      </w:tblPr>
      <w:tblGrid>
        <w:gridCol w:w="4422"/>
        <w:gridCol w:w="4422"/>
      </w:tblGrid>
      <w:tr>
        <w:tc>
          <w:tcPr>
            <w:tcW w:type="dxa" w:w="2476"/>
            <w:shd w:val="clear" w:color="auto" w:fill="DDE5F5"/>
          </w:tcPr>
          <w:p>
            <w:pPr>
              <w:spacing w:before="40" w:after="40" w:line="276" w:lineRule="auto"/>
              <w:jc w:val="center"/>
            </w:pPr>
            <w:r>
              <w:rPr>
                <w:rFonts w:ascii="黑体" w:hAnsi="黑体" w:eastAsia="黑体"/>
                <w:b/>
                <w:sz w:val="21"/>
              </w:rPr>
              <w:t>项</w:t>
            </w:r>
          </w:p>
        </w:tc>
        <w:tc>
          <w:tcPr>
            <w:tcW w:type="dxa" w:w="6368"/>
            <w:shd w:val="clear" w:color="auto" w:fill="DDE5F5"/>
          </w:tcPr>
          <w:p>
            <w:pPr>
              <w:spacing w:before="40" w:after="40" w:line="276" w:lineRule="auto"/>
              <w:jc w:val="center"/>
            </w:pPr>
            <w:r>
              <w:rPr>
                <w:rFonts w:ascii="黑体" w:hAnsi="黑体" w:eastAsia="黑体"/>
                <w:b/>
                <w:sz w:val="21"/>
              </w:rPr>
              <w:t>说明</w:t>
            </w:r>
          </w:p>
        </w:tc>
      </w:tr>
      <w:tr>
        <w:tc>
          <w:tcPr>
            <w:tcW w:type="dxa" w:w="2476"/>
          </w:tcPr>
          <w:p>
            <w:pPr>
              <w:spacing w:before="40" w:after="40" w:line="276" w:lineRule="auto"/>
              <w:jc w:val="center"/>
            </w:pPr>
            <w:r>
              <w:rPr>
                <w:rFonts w:ascii="宋体" w:hAnsi="宋体" w:eastAsia="宋体"/>
                <w:b w:val="0"/>
                <w:sz w:val="21"/>
              </w:rPr>
              <w:t>服务端运行环境</w:t>
            </w:r>
          </w:p>
        </w:tc>
        <w:tc>
          <w:tcPr>
            <w:tcW w:type="dxa" w:w="6368"/>
          </w:tcPr>
          <w:p>
            <w:pPr>
              <w:spacing w:before="40" w:after="40" w:line="276" w:lineRule="auto"/>
            </w:pPr>
            <w:r>
              <w:rPr>
                <w:rFonts w:ascii="宋体" w:hAnsi="宋体" w:eastAsia="宋体"/>
                <w:b w:val="0"/>
                <w:sz w:val="21"/>
              </w:rPr>
              <w:t>Python 3.12；FastAPI + Uvicorn；Celery 异步任务</w:t>
            </w:r>
          </w:p>
        </w:tc>
      </w:tr>
      <w:tr>
        <w:tc>
          <w:tcPr>
            <w:tcW w:type="dxa" w:w="2476"/>
          </w:tcPr>
          <w:p>
            <w:pPr>
              <w:spacing w:before="40" w:after="40" w:line="276" w:lineRule="auto"/>
              <w:jc w:val="center"/>
            </w:pPr>
            <w:r>
              <w:rPr>
                <w:rFonts w:ascii="宋体" w:hAnsi="宋体" w:eastAsia="宋体"/>
                <w:b w:val="0"/>
                <w:sz w:val="21"/>
              </w:rPr>
              <w:t>客户端运行环境</w:t>
            </w:r>
          </w:p>
        </w:tc>
        <w:tc>
          <w:tcPr>
            <w:tcW w:type="dxa" w:w="6368"/>
          </w:tcPr>
          <w:p>
            <w:pPr>
              <w:spacing w:before="40" w:after="40" w:line="276" w:lineRule="auto"/>
            </w:pPr>
            <w:r>
              <w:rPr>
                <w:rFonts w:ascii="宋体" w:hAnsi="宋体" w:eastAsia="宋体"/>
                <w:b w:val="0"/>
                <w:sz w:val="21"/>
              </w:rPr>
              <w:t>现代浏览器（Chrome / Edge 90+、Safari 15+、Firefox 90+），支持 ES2020 与 CSS Grid</w:t>
            </w:r>
          </w:p>
        </w:tc>
      </w:tr>
      <w:tr>
        <w:tc>
          <w:tcPr>
            <w:tcW w:type="dxa" w:w="2476"/>
          </w:tcPr>
          <w:p>
            <w:pPr>
              <w:spacing w:before="40" w:after="40" w:line="276" w:lineRule="auto"/>
              <w:jc w:val="center"/>
            </w:pPr>
            <w:r>
              <w:rPr>
                <w:rFonts w:ascii="宋体" w:hAnsi="宋体" w:eastAsia="宋体"/>
                <w:b w:val="0"/>
                <w:sz w:val="21"/>
              </w:rPr>
              <w:t>页面实现平台</w:t>
            </w:r>
          </w:p>
        </w:tc>
        <w:tc>
          <w:tcPr>
            <w:tcW w:type="dxa" w:w="6368"/>
          </w:tcPr>
          <w:p>
            <w:pPr>
              <w:spacing w:before="40" w:after="40" w:line="276" w:lineRule="auto"/>
            </w:pPr>
            <w:r>
              <w:rPr>
                <w:rFonts w:ascii="宋体" w:hAnsi="宋体" w:eastAsia="宋体"/>
                <w:b w:val="0"/>
                <w:sz w:val="21"/>
              </w:rPr>
              <w:t>React 19 + TypeScript 5.9 + Vite 5.4，pnpm workspace 多包单仓</w:t>
            </w:r>
          </w:p>
        </w:tc>
      </w:tr>
      <w:tr>
        <w:tc>
          <w:tcPr>
            <w:tcW w:type="dxa" w:w="2476"/>
          </w:tcPr>
          <w:p>
            <w:pPr>
              <w:spacing w:before="40" w:after="40" w:line="276" w:lineRule="auto"/>
              <w:jc w:val="center"/>
            </w:pPr>
            <w:r>
              <w:rPr>
                <w:rFonts w:ascii="宋体" w:hAnsi="宋体" w:eastAsia="宋体"/>
                <w:b w:val="0"/>
                <w:sz w:val="21"/>
              </w:rPr>
              <w:t>屏幕分辨率</w:t>
            </w:r>
          </w:p>
        </w:tc>
        <w:tc>
          <w:tcPr>
            <w:tcW w:type="dxa" w:w="6368"/>
          </w:tcPr>
          <w:p>
            <w:pPr>
              <w:spacing w:before="40" w:after="40" w:line="276" w:lineRule="auto"/>
            </w:pPr>
            <w:r>
              <w:rPr>
                <w:rFonts w:ascii="宋体" w:hAnsi="宋体" w:eastAsia="宋体"/>
                <w:b w:val="0"/>
                <w:sz w:val="21"/>
              </w:rPr>
              <w:t>适配 1366×768 及以上，桌面端推荐 1920×1080；移动端适配宽度 ≥ 375 px</w:t>
            </w:r>
          </w:p>
        </w:tc>
      </w:tr>
      <w:tr>
        <w:tc>
          <w:tcPr>
            <w:tcW w:type="dxa" w:w="2476"/>
          </w:tcPr>
          <w:p>
            <w:pPr>
              <w:spacing w:before="40" w:after="40" w:line="276" w:lineRule="auto"/>
              <w:jc w:val="center"/>
            </w:pPr>
            <w:r>
              <w:rPr>
                <w:rFonts w:ascii="宋体" w:hAnsi="宋体" w:eastAsia="宋体"/>
                <w:b w:val="0"/>
                <w:sz w:val="21"/>
              </w:rPr>
              <w:t>支持设备</w:t>
            </w:r>
          </w:p>
        </w:tc>
        <w:tc>
          <w:tcPr>
            <w:tcW w:type="dxa" w:w="6368"/>
          </w:tcPr>
          <w:p>
            <w:pPr>
              <w:spacing w:before="40" w:after="40" w:line="276" w:lineRule="auto"/>
            </w:pPr>
            <w:r>
              <w:rPr>
                <w:rFonts w:ascii="宋体" w:hAnsi="宋体" w:eastAsia="宋体"/>
                <w:b w:val="0"/>
                <w:sz w:val="21"/>
              </w:rPr>
              <w:t>桌面浏览器、平板、手机浏览器（响应式布局，触控操作可用）</w:t>
            </w:r>
          </w:p>
        </w:tc>
      </w:tr>
      <w:tr>
        <w:tc>
          <w:tcPr>
            <w:tcW w:type="dxa" w:w="2476"/>
          </w:tcPr>
          <w:p>
            <w:pPr>
              <w:spacing w:before="40" w:after="40" w:line="276" w:lineRule="auto"/>
              <w:jc w:val="center"/>
            </w:pPr>
            <w:r>
              <w:rPr>
                <w:rFonts w:ascii="宋体" w:hAnsi="宋体" w:eastAsia="宋体"/>
                <w:b w:val="0"/>
                <w:sz w:val="21"/>
              </w:rPr>
              <w:t>数据存储</w:t>
            </w:r>
          </w:p>
        </w:tc>
        <w:tc>
          <w:tcPr>
            <w:tcW w:type="dxa" w:w="6368"/>
          </w:tcPr>
          <w:p>
            <w:pPr>
              <w:spacing w:before="40" w:after="40" w:line="276" w:lineRule="auto"/>
            </w:pPr>
            <w:r>
              <w:rPr>
                <w:rFonts w:ascii="宋体" w:hAnsi="宋体" w:eastAsia="宋体"/>
                <w:b w:val="0"/>
                <w:sz w:val="21"/>
              </w:rPr>
              <w:t>PostgreSQL 16（事务元数据）、ClickHouse 24（trace 与判定流水）、Qdrant（用例向量）、MinIO（报告产物）、Redis（限流与事件总线）；未配置时自动降级为 SQLite / 内存 / 本地目录</w:t>
            </w:r>
          </w:p>
        </w:tc>
      </w:tr>
    </w:tbl>
    <w:p>
      <w:pPr>
        <w:spacing w:before="60" w:after="200"/>
        <w:jc w:val="center"/>
      </w:pPr>
      <w:r>
        <w:rPr>
          <w:rFonts w:ascii="宋体" w:hAnsi="宋体" w:eastAsia="宋体"/>
          <w:b w:val="0"/>
          <w:color w:val="555555"/>
          <w:sz w:val="21"/>
        </w:rPr>
        <w:t>表 2  实现平台与运行环境</w:t>
      </w:r>
    </w:p>
    <w:p>
      <w:pPr>
        <w:spacing w:after="120" w:before="0" w:line="360" w:lineRule="auto"/>
        <w:ind w:firstLine="480"/>
      </w:pPr>
      <w:r>
        <w:rPr>
          <w:rFonts w:ascii="宋体" w:hAnsi="宋体" w:eastAsia="宋体"/>
          <w:b w:val="0"/>
          <w:sz w:val="24"/>
        </w:rPr>
        <w:t>XIAN 平台的登录界面截图与界面说明见下图。</w:t>
      </w:r>
    </w:p>
    <w:p>
      <w:pPr>
        <w:spacing w:before="120" w:after="40"/>
        <w:jc w:val="center"/>
      </w:pPr>
      <w:r>
        <w:drawing>
          <wp:inline xmlns:a="http://schemas.openxmlformats.org/drawingml/2006/main" xmlns:pic="http://schemas.openxmlformats.org/drawingml/2006/picture">
            <wp:extent cx="5472000" cy="3003267"/>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472000" cy="3003267"/>
                    </a:xfrm>
                    <a:prstGeom prst="rect"/>
                  </pic:spPr>
                </pic:pic>
              </a:graphicData>
            </a:graphic>
          </wp:inline>
        </w:drawing>
      </w:r>
    </w:p>
    <w:p>
      <w:pPr>
        <w:spacing w:before="60" w:after="200"/>
        <w:jc w:val="center"/>
      </w:pPr>
      <w:r>
        <w:rPr>
          <w:rFonts w:ascii="宋体" w:hAnsi="宋体" w:eastAsia="宋体"/>
          <w:b w:val="0"/>
          <w:color w:val="555555"/>
          <w:sz w:val="21"/>
        </w:rPr>
        <w:t>图 1  登录界面</w:t>
      </w:r>
    </w:p>
    <w:p>
      <w:pPr>
        <w:pStyle w:val="Heading3"/>
        <w:spacing w:line="336" w:lineRule="auto" w:before="160" w:after="80"/>
      </w:pPr>
      <w:r>
        <w:rPr>
          <w:rFonts w:ascii="黑体" w:hAnsi="黑体" w:eastAsia="黑体"/>
          <w:b/>
          <w:color w:val="333333"/>
          <w:sz w:val="24"/>
        </w:rPr>
        <w:t>登录界面说明</w:t>
      </w:r>
    </w:p>
    <w:p>
      <w:pPr>
        <w:spacing w:after="120" w:before="0" w:line="360" w:lineRule="auto"/>
        <w:ind w:firstLine="480"/>
      </w:pPr>
      <w:r>
        <w:rPr>
          <w:rFonts w:ascii="宋体" w:hAnsi="宋体" w:eastAsia="宋体"/>
          <w:b w:val="0"/>
          <w:sz w:val="24"/>
        </w:rPr>
        <w:t>登录界面是本平台唯一的对外入口，整体采用“红蓝对抗擂台”视觉主题，在同一张主题图的基础上叠加氛围光斑与柔和网格，形成浅色、低干扰的登录场景。</w:t>
      </w:r>
    </w:p>
    <w:p>
      <w:pPr>
        <w:spacing w:after="80" w:line="336" w:lineRule="auto"/>
        <w:ind w:left="510" w:hanging="312"/>
      </w:pPr>
      <w:r>
        <w:rPr>
          <w:rFonts w:ascii="宋体" w:hAnsi="宋体" w:eastAsia="宋体"/>
          <w:b w:val="0"/>
          <w:sz w:val="23"/>
        </w:rPr>
        <w:t xml:space="preserve">● </w:t>
      </w:r>
      <w:r>
        <w:rPr>
          <w:rFonts w:ascii="宋体" w:hAnsi="宋体" w:eastAsia="宋体"/>
          <w:b/>
          <w:sz w:val="23"/>
        </w:rPr>
        <w:t>视觉层次：</w:t>
      </w:r>
      <w:r>
        <w:rPr>
          <w:rFonts w:ascii="宋体" w:hAnsi="宋体" w:eastAsia="宋体"/>
          <w:b w:val="0"/>
          <w:sz w:val="23"/>
        </w:rPr>
        <w:t>背景由红蓝两色氛围光斑、低透明度并降亮度的主题图、以及压低中心亮度的径向蒙版三层叠加而成，保证表单文字始终清晰可读。</w:t>
      </w:r>
    </w:p>
    <w:p>
      <w:pPr>
        <w:spacing w:after="80" w:line="336" w:lineRule="auto"/>
        <w:ind w:left="510" w:hanging="312"/>
      </w:pPr>
      <w:r>
        <w:rPr>
          <w:rFonts w:ascii="宋体" w:hAnsi="宋体" w:eastAsia="宋体"/>
          <w:b w:val="0"/>
          <w:sz w:val="23"/>
        </w:rPr>
        <w:t xml:space="preserve">● </w:t>
      </w:r>
      <w:r>
        <w:rPr>
          <w:rFonts w:ascii="宋体" w:hAnsi="宋体" w:eastAsia="宋体"/>
          <w:b/>
          <w:sz w:val="23"/>
        </w:rPr>
        <w:t>漂浮卡片：</w:t>
      </w:r>
      <w:r>
        <w:rPr>
          <w:rFonts w:ascii="宋体" w:hAnsi="宋体" w:eastAsia="宋体"/>
          <w:b w:val="0"/>
          <w:sz w:val="23"/>
        </w:rPr>
        <w:t>页面上分布 12 张圆角半透明装饰卡片，随鼠标横向移动产生视差、随页面滚动缓慢上浮，并以 12–18 秒不等的周期错峰漂浮；窄屏下仅保留上沿 4 张，且全部标记为对辅助技术隐藏、不接收指针事件，不会遮挡或误触表单。</w:t>
      </w:r>
    </w:p>
    <w:p>
      <w:pPr>
        <w:spacing w:after="80" w:line="336" w:lineRule="auto"/>
        <w:ind w:left="510" w:hanging="312"/>
      </w:pPr>
      <w:r>
        <w:rPr>
          <w:rFonts w:ascii="宋体" w:hAnsi="宋体" w:eastAsia="宋体"/>
          <w:b w:val="0"/>
          <w:sz w:val="23"/>
        </w:rPr>
        <w:t xml:space="preserve">● </w:t>
      </w:r>
      <w:r>
        <w:rPr>
          <w:rFonts w:ascii="宋体" w:hAnsi="宋体" w:eastAsia="宋体"/>
          <w:b/>
          <w:sz w:val="23"/>
        </w:rPr>
        <w:t>登录表单（居中卡片）：</w:t>
      </w:r>
      <w:r>
        <w:rPr>
          <w:rFonts w:ascii="宋体" w:hAnsi="宋体" w:eastAsia="宋体"/>
          <w:b w:val="0"/>
          <w:sz w:val="23"/>
        </w:rPr>
        <w:t>位于页面中心，自上而下依次为账号输入框、密码输入框、演练角色选择与登录按钮。账号与密码均为必填项，并带有前端校验与浏览器自动填充支持。</w:t>
      </w:r>
    </w:p>
    <w:p>
      <w:pPr>
        <w:spacing w:after="80" w:line="336" w:lineRule="auto"/>
        <w:ind w:left="510" w:hanging="312"/>
      </w:pPr>
      <w:r>
        <w:rPr>
          <w:rFonts w:ascii="宋体" w:hAnsi="宋体" w:eastAsia="宋体"/>
          <w:b w:val="0"/>
          <w:sz w:val="23"/>
        </w:rPr>
        <w:t xml:space="preserve">● </w:t>
      </w:r>
      <w:r>
        <w:rPr>
          <w:rFonts w:ascii="宋体" w:hAnsi="宋体" w:eastAsia="宋体"/>
          <w:b/>
          <w:sz w:val="23"/>
        </w:rPr>
        <w:t>演练角色选择：</w:t>
      </w:r>
      <w:r>
        <w:rPr>
          <w:rFonts w:ascii="宋体" w:hAnsi="宋体" w:eastAsia="宋体"/>
          <w:b w:val="0"/>
          <w:sz w:val="23"/>
        </w:rPr>
        <w:t>提供红军、蓝军、管理员、分析师四个角色，选中态以红 / 蓝 / 中性底色区分，并在下方给出角色权限说明“角色决定权限：红军执行攻击、蓝军负责防守、管理员全量管控”。</w:t>
      </w:r>
    </w:p>
    <w:p>
      <w:pPr>
        <w:spacing w:after="80" w:line="336" w:lineRule="auto"/>
        <w:ind w:left="510" w:hanging="312"/>
      </w:pPr>
      <w:r>
        <w:rPr>
          <w:rFonts w:ascii="宋体" w:hAnsi="宋体" w:eastAsia="宋体"/>
          <w:b w:val="0"/>
          <w:sz w:val="23"/>
        </w:rPr>
        <w:t xml:space="preserve">● </w:t>
      </w:r>
      <w:r>
        <w:rPr>
          <w:rFonts w:ascii="宋体" w:hAnsi="宋体" w:eastAsia="宋体"/>
          <w:b/>
          <w:sz w:val="23"/>
        </w:rPr>
        <w:t>顶部导航：</w:t>
      </w:r>
      <w:r>
        <w:rPr>
          <w:rFonts w:ascii="宋体" w:hAnsi="宋体" w:eastAsia="宋体"/>
          <w:b w:val="0"/>
          <w:sz w:val="23"/>
        </w:rPr>
        <w:t>顶部左侧为“产品”与“方案”两个快捷入口，中央为胶囊状菜单（展开后可直达 Agent 编排、靶场场景、攻击矩阵、报告中心），右侧为登录入口；三个区域均支持键盘操作与焦点管理。</w:t>
      </w:r>
    </w:p>
    <w:p>
      <w:pPr>
        <w:spacing w:after="80" w:line="336" w:lineRule="auto"/>
        <w:ind w:left="510" w:hanging="312"/>
      </w:pPr>
      <w:r>
        <w:rPr>
          <w:rFonts w:ascii="宋体" w:hAnsi="宋体" w:eastAsia="宋体"/>
          <w:b w:val="0"/>
          <w:sz w:val="23"/>
        </w:rPr>
        <w:t xml:space="preserve">● </w:t>
      </w:r>
      <w:r>
        <w:rPr>
          <w:rFonts w:ascii="宋体" w:hAnsi="宋体" w:eastAsia="宋体"/>
          <w:b/>
          <w:sz w:val="23"/>
        </w:rPr>
        <w:t>无障碍与降级：</w:t>
      </w:r>
      <w:r>
        <w:rPr>
          <w:rFonts w:ascii="宋体" w:hAnsi="宋体" w:eastAsia="宋体"/>
          <w:b w:val="0"/>
          <w:sz w:val="23"/>
        </w:rPr>
        <w:t>系统检测到用户开启“减弱动效”时，所有漂浮与视差动画自动停用，仅保留静态背景，保证对动效敏感用户的使用体验。</w:t>
      </w:r>
    </w:p>
    <w:p>
      <w:pPr>
        <w:spacing w:after="120" w:before="0" w:line="360" w:lineRule="auto"/>
        <w:ind w:firstLine="480"/>
      </w:pPr>
      <w:r>
        <w:rPr>
          <w:rFonts w:ascii="宋体" w:hAnsi="宋体" w:eastAsia="宋体"/>
          <w:b w:val="0"/>
          <w:sz w:val="24"/>
        </w:rPr>
        <w:t>为便于评审现场体验，登录界面已预填演示账号，亦可在表单中直接修改。测试账号详见“六、其他”章节。</w:t>
      </w:r>
    </w:p>
    <w:p>
      <w:pPr>
        <w:pStyle w:val="Heading1"/>
        <w:spacing w:line="336" w:lineRule="auto" w:before="120" w:after="240"/>
      </w:pPr>
      <w:r>
        <w:rPr>
          <w:rFonts w:ascii="黑体" w:hAnsi="黑体" w:eastAsia="黑体"/>
          <w:b/>
          <w:color w:val="1E40AF"/>
          <w:sz w:val="32"/>
        </w:rPr>
        <w:t>四、作品实现、难点及特色分析</w:t>
      </w:r>
    </w:p>
    <w:p>
      <w:pPr>
        <w:pStyle w:val="Heading2"/>
        <w:spacing w:line="336" w:lineRule="auto" w:before="200" w:after="120"/>
      </w:pPr>
      <w:r>
        <w:rPr>
          <w:rFonts w:ascii="黑体" w:hAnsi="黑体" w:eastAsia="黑体"/>
          <w:b/>
          <w:color w:val="222222"/>
          <w:sz w:val="27"/>
        </w:rPr>
        <w:t>（一）作品实现及难点</w:t>
      </w:r>
    </w:p>
    <w:p>
      <w:pPr>
        <w:spacing w:after="120" w:before="0" w:line="360" w:lineRule="auto"/>
        <w:ind w:firstLine="480"/>
      </w:pPr>
      <w:r>
        <w:rPr>
          <w:rFonts w:ascii="宋体" w:hAnsi="宋体" w:eastAsia="宋体"/>
          <w:b w:val="0"/>
          <w:sz w:val="24"/>
        </w:rPr>
        <w:t>平台后端采用四层结构：接入层（FastAPI 服务，只做协议适配、鉴权、限流与任务派发）、核心层（xian_core，承载全部业务规则）、运行时层（Celery 执行战役、报告渲染、复测与巡检）、门面层（命令行工具，提供种子导入、版本查询与 CI 门禁）。前端为 pnpm 多包单仓，分为类型契约包、组件库与应用层三个包。开发过程中的主要难点及解决思路如下。</w:t>
      </w:r>
    </w:p>
    <w:p>
      <w:pPr>
        <w:pStyle w:val="Heading3"/>
        <w:spacing w:line="336" w:lineRule="auto" w:before="160" w:after="80"/>
      </w:pPr>
      <w:r>
        <w:rPr>
          <w:rFonts w:ascii="黑体" w:hAnsi="黑体" w:eastAsia="黑体"/>
          <w:b/>
          <w:color w:val="333333"/>
          <w:sz w:val="24"/>
        </w:rPr>
        <w:t>难点一：核心层必须零框架依赖，才能被三端复用</w:t>
      </w:r>
    </w:p>
    <w:p>
      <w:pPr>
        <w:spacing w:after="120" w:before="0" w:line="360" w:lineRule="auto"/>
        <w:ind w:firstLine="480"/>
      </w:pPr>
      <w:r>
        <w:rPr>
          <w:rFonts w:ascii="宋体" w:hAnsi="宋体" w:eastAsia="宋体"/>
          <w:b w:val="0"/>
          <w:sz w:val="24"/>
        </w:rPr>
        <w:t>问题：业务逻辑同时被 HTTP 接口、异步任务与命令行门禁调用，如果分别实现，极易出现“接口里一套规则、任务里另一套”的分叉，且任何一处修改都需要同步三处。</w:t>
      </w:r>
    </w:p>
    <w:p>
      <w:pPr>
        <w:spacing w:after="120" w:line="360" w:lineRule="auto"/>
        <w:ind w:firstLine="480"/>
      </w:pPr>
      <w:r>
        <w:rPr>
          <w:rFonts w:ascii="宋体" w:hAnsi="宋体" w:eastAsia="宋体"/>
          <w:b w:val="0"/>
          <w:sz w:val="24"/>
        </w:rPr>
        <w:t>解决：</w:t>
      </w:r>
      <w:r>
        <w:rPr>
          <w:rFonts w:ascii="宋体" w:hAnsi="宋体" w:eastAsia="宋体"/>
          <w:b/>
          <w:sz w:val="24"/>
        </w:rPr>
        <w:t>核心层对外只暴露函数，不使用 Service 类，也不 import FastAPI 或 Celery。红军引擎、三级裁判、评分聚合与报告渲染全部以纯函数形式提供，由三端各自调用同一入口。这一约束在架构上直接消除了逻辑分叉的可能性，也使核心层可以脱离 Web 框架独立测试。</w:t>
      </w:r>
    </w:p>
    <w:p>
      <w:pPr>
        <w:pStyle w:val="Heading3"/>
        <w:spacing w:line="336" w:lineRule="auto" w:before="160" w:after="80"/>
      </w:pPr>
      <w:r>
        <w:rPr>
          <w:rFonts w:ascii="黑体" w:hAnsi="黑体" w:eastAsia="黑体"/>
          <w:b/>
          <w:color w:val="333333"/>
          <w:sz w:val="24"/>
        </w:rPr>
        <w:t>难点二：判定既要“零漏报”，又不能被 LLM 成本拖垮</w:t>
      </w:r>
    </w:p>
    <w:p>
      <w:pPr>
        <w:spacing w:after="120" w:before="0" w:line="360" w:lineRule="auto"/>
        <w:ind w:firstLine="480"/>
      </w:pPr>
      <w:r>
        <w:rPr>
          <w:rFonts w:ascii="宋体" w:hAnsi="宋体" w:eastAsia="宋体"/>
          <w:b w:val="0"/>
          <w:sz w:val="24"/>
        </w:rPr>
        <w:t>问题：纯靠 LLM 判定，成本高、延迟大且结果不稳定；纯靠规则判定，覆盖面又不足，容易漏掉新型攻击手法。</w:t>
      </w:r>
    </w:p>
    <w:p>
      <w:pPr>
        <w:spacing w:after="120" w:line="360" w:lineRule="auto"/>
        <w:ind w:firstLine="480"/>
      </w:pPr>
      <w:r>
        <w:rPr>
          <w:rFonts w:ascii="宋体" w:hAnsi="宋体" w:eastAsia="宋体"/>
          <w:b w:val="0"/>
          <w:sz w:val="24"/>
        </w:rPr>
        <w:t>解决：</w:t>
      </w:r>
      <w:r>
        <w:rPr>
          <w:rFonts w:ascii="宋体" w:hAnsi="宋体" w:eastAsia="宋体"/>
          <w:b/>
          <w:sz w:val="24"/>
        </w:rPr>
        <w:t>设计三级裁判流水线。第一级为黄金信号规则库，把“蜜标出现在出网请求体”“调用了黑名单工具”“工具参数越出白名单”“白名单外域名外联”“高危工具未走二次确认”“输出含可执行结构”“输出命中密钥正则”“记忆写入含指令句式”等确定性证据固化为规则，命中即判定成功，完全不经过概率性环节；只有规则无法覆盖的样本才下沉到分类器，最后才交给 LLM 双裁判。这样既保证关键风险零漏报，又把 LLM 调用量压到只占总量的一小部分，实现成本与延迟的双赢。</w:t>
      </w:r>
    </w:p>
    <w:p>
      <w:pPr>
        <w:pStyle w:val="Heading3"/>
        <w:spacing w:line="336" w:lineRule="auto" w:before="160" w:after="80"/>
      </w:pPr>
      <w:r>
        <w:rPr>
          <w:rFonts w:ascii="黑体" w:hAnsi="黑体" w:eastAsia="黑体"/>
          <w:b/>
          <w:color w:val="333333"/>
          <w:sz w:val="24"/>
        </w:rPr>
        <w:t>难点三：攻击过程不能失控烧预算</w:t>
      </w:r>
    </w:p>
    <w:p>
      <w:pPr>
        <w:spacing w:after="120" w:before="0" w:line="360" w:lineRule="auto"/>
        <w:ind w:firstLine="480"/>
      </w:pPr>
      <w:r>
        <w:rPr>
          <w:rFonts w:ascii="宋体" w:hAnsi="宋体" w:eastAsia="宋体"/>
          <w:b w:val="0"/>
          <w:sz w:val="24"/>
        </w:rPr>
        <w:t>问题：自动化攻击若不加约束，容易在无解的目标上反复重试，既浪费资源又拉长演练时间，用户还看不到进展。</w:t>
      </w:r>
    </w:p>
    <w:p>
      <w:pPr>
        <w:spacing w:after="120" w:line="360" w:lineRule="auto"/>
        <w:ind w:firstLine="480"/>
      </w:pPr>
      <w:r>
        <w:rPr>
          <w:rFonts w:ascii="宋体" w:hAnsi="宋体" w:eastAsia="宋体"/>
          <w:b w:val="0"/>
          <w:sz w:val="24"/>
        </w:rPr>
        <w:t>解决：</w:t>
      </w:r>
      <w:r>
        <w:rPr>
          <w:rFonts w:ascii="宋体" w:hAnsi="宋体" w:eastAsia="宋体"/>
          <w:b/>
          <w:sz w:val="24"/>
        </w:rPr>
        <w:t>把攻击链路建模为有向无环图，每个节点是一个阶段内的策略执行单元。运行时维护预算账本，消耗达到阈值即熔断；对某个类别连续失败达到设定次数后，自动轮换变异算子而非继续重试同一手法；当连续两轮没有产生新进展时，判定为收敛并提前结束。所有节点的状态变化通过事件总线实时推送到前端，用户既能看到“正在做什么”，也能看到“为什么停下来”。</w:t>
      </w:r>
    </w:p>
    <w:p>
      <w:pPr>
        <w:pStyle w:val="Heading3"/>
        <w:spacing w:line="336" w:lineRule="auto" w:before="160" w:after="80"/>
      </w:pPr>
      <w:r>
        <w:rPr>
          <w:rFonts w:ascii="黑体" w:hAnsi="黑体" w:eastAsia="黑体"/>
          <w:b/>
          <w:color w:val="333333"/>
          <w:sz w:val="24"/>
        </w:rPr>
        <w:t>难点四：无法依赖外部中间件，也要能完整演示</w:t>
      </w:r>
    </w:p>
    <w:p>
      <w:pPr>
        <w:spacing w:after="120" w:before="0" w:line="360" w:lineRule="auto"/>
        <w:ind w:firstLine="480"/>
      </w:pPr>
      <w:r>
        <w:rPr>
          <w:rFonts w:ascii="宋体" w:hAnsi="宋体" w:eastAsia="宋体"/>
          <w:b w:val="0"/>
          <w:sz w:val="24"/>
        </w:rPr>
        <w:t>问题：完整的平台设计依赖数据库、缓存、分析库、向量库与对象存储五类中间件，但在评审、教学与开发调试场景下，评审机往往不具备这些环境。</w:t>
      </w:r>
    </w:p>
    <w:p>
      <w:pPr>
        <w:spacing w:after="120" w:line="360" w:lineRule="auto"/>
        <w:ind w:firstLine="480"/>
      </w:pPr>
      <w:r>
        <w:rPr>
          <w:rFonts w:ascii="宋体" w:hAnsi="宋体" w:eastAsia="宋体"/>
          <w:b w:val="0"/>
          <w:sz w:val="24"/>
        </w:rPr>
        <w:t>解决：</w:t>
      </w:r>
      <w:r>
        <w:rPr>
          <w:rFonts w:ascii="宋体" w:hAnsi="宋体" w:eastAsia="宋体"/>
          <w:b/>
          <w:sz w:val="24"/>
        </w:rPr>
        <w:t>为每一类存储客户端实现可用性探测，未配置连接时自动回落到内存实现或本地文件系统。SQLite 顶替 PostgreSQL，进程内事件队列顶替 Redis 发布订阅，本地目录顶替对象存储，向量检索降级为词法匹配。这使得“单机零中间件即可跑通全流程”成为平台的一项可交付特性，而不只是一个容错细节。</w:t>
      </w:r>
    </w:p>
    <w:p>
      <w:pPr>
        <w:pStyle w:val="Heading3"/>
        <w:spacing w:line="336" w:lineRule="auto" w:before="160" w:after="80"/>
      </w:pPr>
      <w:r>
        <w:rPr>
          <w:rFonts w:ascii="黑体" w:hAnsi="黑体" w:eastAsia="黑体"/>
          <w:b/>
          <w:color w:val="333333"/>
          <w:sz w:val="24"/>
        </w:rPr>
        <w:t>难点五：没有 LLM 凭证时，测试会变成“测运气”</w:t>
      </w:r>
    </w:p>
    <w:p>
      <w:pPr>
        <w:spacing w:after="120" w:before="0" w:line="360" w:lineRule="auto"/>
        <w:ind w:firstLine="480"/>
      </w:pPr>
      <w:r>
        <w:rPr>
          <w:rFonts w:ascii="宋体" w:hAnsi="宋体" w:eastAsia="宋体"/>
          <w:b w:val="0"/>
          <w:sz w:val="24"/>
        </w:rPr>
        <w:t>问题：如果测试用例依赖真实模型输出，那么断言的内容就变成了“模型够不够聪明”，结果不可复现，也无法在离线 CI 中运行。</w:t>
      </w:r>
    </w:p>
    <w:p>
      <w:pPr>
        <w:spacing w:after="120" w:line="360" w:lineRule="auto"/>
        <w:ind w:firstLine="480"/>
      </w:pPr>
      <w:r>
        <w:rPr>
          <w:rFonts w:ascii="宋体" w:hAnsi="宋体" w:eastAsia="宋体"/>
          <w:b w:val="0"/>
          <w:sz w:val="24"/>
        </w:rPr>
        <w:t>解决：</w:t>
      </w:r>
      <w:r>
        <w:rPr>
          <w:rFonts w:ascii="宋体" w:hAnsi="宋体" w:eastAsia="宋体"/>
          <w:b/>
          <w:sz w:val="24"/>
        </w:rPr>
        <w:t>在网关层实现确定性离线回放：未配置 LLM 凭证时，按角色返回确定性的响应，裁判角色走规则路径，向量化角色返回稳定向量。这样测试断言的对象就是协议与状态机的正确性，而非模型表现，使全部用例可以在无网环境下稳定通过。</w:t>
      </w:r>
    </w:p>
    <w:p>
      <w:pPr>
        <w:pStyle w:val="Heading3"/>
        <w:spacing w:line="336" w:lineRule="auto" w:before="160" w:after="80"/>
      </w:pPr>
      <w:r>
        <w:rPr>
          <w:rFonts w:ascii="黑体" w:hAnsi="黑体" w:eastAsia="黑体"/>
          <w:b/>
          <w:color w:val="333333"/>
          <w:sz w:val="24"/>
        </w:rPr>
        <w:t>难点六：多租户与权限必须细到操作粒度</w:t>
      </w:r>
    </w:p>
    <w:p>
      <w:pPr>
        <w:spacing w:after="120" w:before="0" w:line="360" w:lineRule="auto"/>
        <w:ind w:firstLine="480"/>
      </w:pPr>
      <w:r>
        <w:rPr>
          <w:rFonts w:ascii="宋体" w:hAnsi="宋体" w:eastAsia="宋体"/>
          <w:b w:val="0"/>
          <w:sz w:val="24"/>
        </w:rPr>
        <w:t>问题：平台面向企业多团队使用，不同角色能做的事差异很大——红军只应执行攻击，蓝军只应查看与防守，分析师只应看报告，而武器库中的原始攻击载荷属于敏感资产，随意导出会造成滥用风险。</w:t>
      </w:r>
    </w:p>
    <w:p>
      <w:pPr>
        <w:spacing w:after="120" w:line="360" w:lineRule="auto"/>
        <w:ind w:firstLine="480"/>
      </w:pPr>
      <w:r>
        <w:rPr>
          <w:rFonts w:ascii="宋体" w:hAnsi="宋体" w:eastAsia="宋体"/>
          <w:b w:val="0"/>
          <w:sz w:val="24"/>
        </w:rPr>
        <w:t>解决：</w:t>
      </w:r>
      <w:r>
        <w:rPr>
          <w:rFonts w:ascii="宋体" w:hAnsi="宋体" w:eastAsia="宋体"/>
          <w:b/>
          <w:sz w:val="24"/>
        </w:rPr>
        <w:t>在数据访问层统一强制注入租户条件，任何仓储查询都自动带租户过滤；在接口层以权限字符串（如 campaign:run、agent:write）声明式校验，细到单个操作；武器库原始载荷的导出单独鉴权，未获授权直接拒绝并记录审计事件。</w:t>
      </w:r>
    </w:p>
    <w:p>
      <w:pPr>
        <w:pStyle w:val="Heading2"/>
        <w:spacing w:line="336" w:lineRule="auto" w:before="200" w:after="120"/>
      </w:pPr>
      <w:r>
        <w:rPr>
          <w:rFonts w:ascii="黑体" w:hAnsi="黑体" w:eastAsia="黑体"/>
          <w:b/>
          <w:color w:val="222222"/>
          <w:sz w:val="27"/>
        </w:rPr>
        <w:t>（二）特色分析</w:t>
      </w:r>
    </w:p>
    <w:p>
      <w:pPr>
        <w:pStyle w:val="Heading3"/>
        <w:spacing w:line="336" w:lineRule="auto" w:before="160" w:after="80"/>
      </w:pPr>
      <w:r>
        <w:rPr>
          <w:rFonts w:ascii="黑体" w:hAnsi="黑体" w:eastAsia="黑体"/>
          <w:b/>
          <w:color w:val="333333"/>
          <w:sz w:val="24"/>
        </w:rPr>
        <w:t>特色一：三级裁判流水线 —— 让“判得准”可被解释</w:t>
      </w:r>
    </w:p>
    <w:p>
      <w:pPr>
        <w:spacing w:after="120" w:before="0" w:line="360" w:lineRule="auto"/>
        <w:ind w:firstLine="480"/>
      </w:pPr>
      <w:r>
        <w:rPr>
          <w:rFonts w:ascii="宋体" w:hAnsi="宋体" w:eastAsia="宋体"/>
          <w:b w:val="0"/>
          <w:sz w:val="24"/>
        </w:rPr>
        <w:t>不同于把结论完全交给模型的做法，本作品把判定拆成确定性规则、词表分类器与 LLM 投票三层，并在每一层保留完整证据。由于黄金信号层零漏报，用户可以确信“真正严重的问题不会被放过”；由于每条结论都能下钻到触发它的具体规则或证据，用户可以自己判断结论是否可信，而不是只能选择相信系统。</w:t>
      </w:r>
    </w:p>
    <w:p>
      <w:pPr>
        <w:pStyle w:val="Heading3"/>
        <w:spacing w:line="336" w:lineRule="auto" w:before="160" w:after="80"/>
      </w:pPr>
      <w:r>
        <w:rPr>
          <w:rFonts w:ascii="黑体" w:hAnsi="黑体" w:eastAsia="黑体"/>
          <w:b/>
          <w:color w:val="333333"/>
          <w:sz w:val="24"/>
        </w:rPr>
        <w:t>特色二：修复闭环 —— 让“改得动”可被验证</w:t>
      </w:r>
    </w:p>
    <w:p>
      <w:pPr>
        <w:spacing w:after="120" w:before="0" w:line="360" w:lineRule="auto"/>
        <w:ind w:firstLine="480"/>
      </w:pPr>
      <w:r>
        <w:rPr>
          <w:rFonts w:ascii="宋体" w:hAnsi="宋体" w:eastAsia="宋体"/>
          <w:b w:val="0"/>
          <w:sz w:val="24"/>
        </w:rPr>
        <w:t>市面上多数安全评测工具止步于“发现问题”，本作品进一步做到“定位根因 → 给出可应用产物 → 复测验证”。修复建议不是泛泛的“建议加强输入校验”，而是具体的提示词改写差异、防护规则或代码片段；并且可以在应用修复后对同一条攻击重新执行，用判定结果与分数的变化来证明修复确实生效。这把安全工作从“提建议”推进到了“验证效果”。</w:t>
      </w:r>
    </w:p>
    <w:p>
      <w:pPr>
        <w:pStyle w:val="Heading3"/>
        <w:spacing w:line="336" w:lineRule="auto" w:before="160" w:after="80"/>
      </w:pPr>
      <w:r>
        <w:rPr>
          <w:rFonts w:ascii="黑体" w:hAnsi="黑体" w:eastAsia="黑体"/>
          <w:b/>
          <w:color w:val="333333"/>
          <w:sz w:val="24"/>
        </w:rPr>
        <w:t>特色三：内容资产数据化 —— 扩充能力不用改代码</w:t>
      </w:r>
    </w:p>
    <w:p>
      <w:pPr>
        <w:spacing w:after="120" w:before="0" w:line="360" w:lineRule="auto"/>
        <w:ind w:firstLine="480"/>
      </w:pPr>
      <w:r>
        <w:rPr>
          <w:rFonts w:ascii="宋体" w:hAnsi="宋体" w:eastAsia="宋体"/>
          <w:b w:val="0"/>
          <w:sz w:val="24"/>
        </w:rPr>
        <w:t>攻击用例、变异算子、策略库、黄金信号规则、根因分类与修复手册全部以 YAML 形式与代码同库同版本管理，通过统一加载器读取。这意味着安全研究员扩充攻击面通常只需要编辑数据文件，不需要理解框架代码、也不需要重新发版，显著降低了平台的维护与演进成本。</w:t>
      </w:r>
    </w:p>
    <w:p>
      <w:pPr>
        <w:pStyle w:val="Heading3"/>
        <w:spacing w:line="336" w:lineRule="auto" w:before="160" w:after="80"/>
      </w:pPr>
      <w:r>
        <w:rPr>
          <w:rFonts w:ascii="黑体" w:hAnsi="黑体" w:eastAsia="黑体"/>
          <w:b/>
          <w:color w:val="333333"/>
          <w:sz w:val="24"/>
        </w:rPr>
        <w:t>特色四：CI 回归门禁 —— 让安全评测变成工程节拍</w:t>
      </w:r>
    </w:p>
    <w:p>
      <w:pPr>
        <w:spacing w:after="120" w:before="0" w:line="360" w:lineRule="auto"/>
        <w:ind w:firstLine="480"/>
      </w:pPr>
      <w:r>
        <w:rPr>
          <w:rFonts w:ascii="宋体" w:hAnsi="宋体" w:eastAsia="宋体"/>
          <w:b w:val="0"/>
          <w:sz w:val="24"/>
        </w:rPr>
        <w:t>平台提供命令行门禁接口，可在持续集成流程中对当前版本执行评测，并与上一版本的安全评分比对。当分数跌幅超过阈值、或出现新的高危发现时，门禁返回非零退出码从而阻断合并。这使得 Agent 安全从一次性的“上线前体检”变成版本迭代中的常规节拍，任何一次改动引入的安全退化都会被及时发现。</w:t>
      </w:r>
    </w:p>
    <w:p>
      <w:pPr>
        <w:pStyle w:val="Heading3"/>
        <w:spacing w:line="336" w:lineRule="auto" w:before="160" w:after="80"/>
      </w:pPr>
      <w:r>
        <w:rPr>
          <w:rFonts w:ascii="黑体" w:hAnsi="黑体" w:eastAsia="黑体"/>
          <w:b/>
          <w:color w:val="333333"/>
          <w:sz w:val="24"/>
        </w:rPr>
        <w:t>特色五：授权约束内建 —— 攻击能力自带刹车</w:t>
      </w:r>
    </w:p>
    <w:p>
      <w:pPr>
        <w:spacing w:after="120" w:before="0" w:line="360" w:lineRule="auto"/>
        <w:ind w:firstLine="480"/>
      </w:pPr>
      <w:r>
        <w:rPr>
          <w:rFonts w:ascii="宋体" w:hAnsi="宋体" w:eastAsia="宋体"/>
          <w:b w:val="0"/>
          <w:sz w:val="24"/>
        </w:rPr>
        <w:t>本作品的攻击能力全部在沙箱与授权边界内运行：目标 Agent 必须先通过归属校验才能被攻击；沙箱实例的出网流量经默认拒绝的白名单代理转发，任何白名单外的域名都会被映射为无效域名并记录下来；场景配置中的凭据一律只允许使用专用蜜标格式，并在写入前校验，防止真实密钥被误当作演练数据。这些约束不是外挂的检查，而是内建于攻击链路本身。</w:t>
      </w:r>
    </w:p>
    <w:p>
      <w:pPr>
        <w:pStyle w:val="Heading1"/>
        <w:spacing w:line="336" w:lineRule="auto" w:before="120" w:after="240"/>
      </w:pPr>
      <w:r>
        <w:rPr>
          <w:rFonts w:ascii="黑体" w:hAnsi="黑体" w:eastAsia="黑体"/>
          <w:b/>
          <w:color w:val="1E40AF"/>
          <w:sz w:val="32"/>
        </w:rPr>
        <w:t>五、团队介绍和人员分工</w:t>
      </w:r>
    </w:p>
    <w:p>
      <w:pPr>
        <w:spacing w:after="120" w:before="0" w:line="360" w:lineRule="auto"/>
        <w:ind w:firstLine="480"/>
      </w:pPr>
      <w:r>
        <w:rPr>
          <w:rFonts w:ascii="宋体" w:hAnsi="宋体" w:eastAsia="宋体"/>
          <w:b w:val="0"/>
          <w:sz w:val="24"/>
        </w:rPr>
        <w:t>所在学校：________________________</w:t>
      </w:r>
    </w:p>
    <w:p>
      <w:pPr>
        <w:spacing w:after="120" w:before="0" w:line="360" w:lineRule="auto"/>
        <w:ind w:firstLine="480"/>
      </w:pPr>
      <w:r>
        <w:rPr>
          <w:rFonts w:ascii="宋体" w:hAnsi="宋体" w:eastAsia="宋体"/>
          <w:b w:val="0"/>
          <w:sz w:val="24"/>
        </w:rPr>
        <w:t>团队名称：XIAN 红蓝安全实验室</w:t>
      </w:r>
    </w:p>
    <w:p>
      <w:pPr>
        <w:spacing w:after="120" w:before="0" w:line="360" w:lineRule="auto"/>
        <w:ind w:firstLine="480"/>
      </w:pPr>
      <w:r>
        <w:rPr>
          <w:rFonts w:ascii="宋体" w:hAnsi="宋体" w:eastAsia="宋体"/>
          <w:b w:val="0"/>
          <w:sz w:val="24"/>
        </w:rPr>
        <w:t>团队人员及分工：</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3184"/>
            <w:shd w:val="clear" w:color="auto" w:fill="DDE5F5"/>
          </w:tcPr>
          <w:p>
            <w:pPr>
              <w:spacing w:before="40" w:after="40" w:line="276" w:lineRule="auto"/>
              <w:jc w:val="center"/>
            </w:pPr>
            <w:r>
              <w:rPr>
                <w:rFonts w:ascii="黑体" w:hAnsi="黑体" w:eastAsia="黑体"/>
                <w:b/>
                <w:sz w:val="21"/>
              </w:rPr>
              <w:t>角色</w:t>
            </w:r>
          </w:p>
        </w:tc>
        <w:tc>
          <w:tcPr>
            <w:tcW w:type="dxa" w:w="1150"/>
            <w:shd w:val="clear" w:color="auto" w:fill="DDE5F5"/>
          </w:tcPr>
          <w:p>
            <w:pPr>
              <w:spacing w:before="40" w:after="40" w:line="276" w:lineRule="auto"/>
              <w:jc w:val="center"/>
            </w:pPr>
            <w:r>
              <w:rPr>
                <w:rFonts w:ascii="黑体" w:hAnsi="黑体" w:eastAsia="黑体"/>
                <w:b/>
                <w:sz w:val="21"/>
              </w:rPr>
              <w:t>姓名</w:t>
            </w:r>
          </w:p>
        </w:tc>
        <w:tc>
          <w:tcPr>
            <w:tcW w:type="dxa" w:w="1946"/>
            <w:shd w:val="clear" w:color="auto" w:fill="DDE5F5"/>
          </w:tcPr>
          <w:p>
            <w:pPr>
              <w:spacing w:before="40" w:after="40" w:line="276" w:lineRule="auto"/>
              <w:jc w:val="center"/>
            </w:pPr>
            <w:r>
              <w:rPr>
                <w:rFonts w:ascii="黑体" w:hAnsi="黑体" w:eastAsia="黑体"/>
                <w:b/>
                <w:sz w:val="21"/>
              </w:rPr>
              <w:t>主要分工</w:t>
            </w:r>
          </w:p>
        </w:tc>
        <w:tc>
          <w:tcPr>
            <w:tcW w:type="dxa" w:w="2565"/>
            <w:shd w:val="clear" w:color="auto" w:fill="DDE5F5"/>
          </w:tcPr>
          <w:p>
            <w:pPr>
              <w:spacing w:before="40" w:after="40" w:line="276" w:lineRule="auto"/>
              <w:jc w:val="center"/>
            </w:pPr>
            <w:r>
              <w:rPr>
                <w:rFonts w:ascii="黑体" w:hAnsi="黑体" w:eastAsia="黑体"/>
                <w:b/>
                <w:sz w:val="21"/>
              </w:rPr>
              <w:t>对应交付物</w:t>
            </w:r>
          </w:p>
        </w:tc>
      </w:tr>
      <w:tr>
        <w:tc>
          <w:tcPr>
            <w:tcW w:type="dxa" w:w="3184"/>
          </w:tcPr>
          <w:p>
            <w:pPr>
              <w:spacing w:before="40" w:after="40" w:line="276" w:lineRule="auto"/>
            </w:pPr>
            <w:r>
              <w:rPr>
                <w:rFonts w:ascii="宋体" w:hAnsi="宋体" w:eastAsia="宋体"/>
                <w:b w:val="0"/>
                <w:sz w:val="21"/>
              </w:rPr>
              <w:t>队长</w:t>
            </w:r>
          </w:p>
        </w:tc>
        <w:tc>
          <w:tcPr>
            <w:tcW w:type="dxa" w:w="1150"/>
          </w:tcPr>
          <w:p>
            <w:pPr>
              <w:spacing w:before="40" w:after="40" w:line="276" w:lineRule="auto"/>
            </w:pPr>
            <w:r>
              <w:rPr>
                <w:rFonts w:ascii="宋体" w:hAnsi="宋体" w:eastAsia="宋体"/>
                <w:b w:val="0"/>
                <w:sz w:val="21"/>
              </w:rPr>
              <w:t>张___</w:t>
            </w:r>
          </w:p>
        </w:tc>
        <w:tc>
          <w:tcPr>
            <w:tcW w:type="dxa" w:w="1946"/>
          </w:tcPr>
          <w:p>
            <w:pPr>
              <w:spacing w:before="40" w:after="40" w:line="276" w:lineRule="auto"/>
            </w:pPr>
            <w:r>
              <w:rPr>
                <w:rFonts w:ascii="宋体" w:hAnsi="宋体" w:eastAsia="宋体"/>
                <w:b w:val="0"/>
                <w:sz w:val="21"/>
              </w:rPr>
              <w:t>项目负责人与技术总体设计。负责四层架构划分与核心层边界约束，主持三级裁判引擎的设计与实现，统筹开发节奏与需求拆解。</w:t>
            </w:r>
          </w:p>
        </w:tc>
        <w:tc>
          <w:tcPr>
            <w:tcW w:type="dxa" w:w="2565"/>
          </w:tcPr>
          <w:p>
            <w:pPr>
              <w:spacing w:before="40" w:after="40" w:line="276" w:lineRule="auto"/>
            </w:pPr>
            <w:r>
              <w:rPr>
                <w:rFonts w:ascii="宋体" w:hAnsi="宋体" w:eastAsia="宋体"/>
                <w:b w:val="0"/>
                <w:sz w:val="21"/>
              </w:rPr>
              <w:t>xian_core 裁判模块；架构设计说明；需求拆分与排期</w:t>
            </w:r>
          </w:p>
        </w:tc>
      </w:tr>
      <w:tr>
        <w:tc>
          <w:tcPr>
            <w:tcW w:type="dxa" w:w="3184"/>
          </w:tcPr>
          <w:p>
            <w:pPr>
              <w:spacing w:before="40" w:after="40" w:line="276" w:lineRule="auto"/>
            </w:pPr>
            <w:r>
              <w:rPr>
                <w:rFonts w:ascii="宋体" w:hAnsi="宋体" w:eastAsia="宋体"/>
                <w:b w:val="0"/>
                <w:sz w:val="21"/>
              </w:rPr>
              <w:t>队员</w:t>
            </w:r>
          </w:p>
        </w:tc>
        <w:tc>
          <w:tcPr>
            <w:tcW w:type="dxa" w:w="1150"/>
          </w:tcPr>
          <w:p>
            <w:pPr>
              <w:spacing w:before="40" w:after="40" w:line="276" w:lineRule="auto"/>
            </w:pPr>
            <w:r>
              <w:rPr>
                <w:rFonts w:ascii="宋体" w:hAnsi="宋体" w:eastAsia="宋体"/>
                <w:b w:val="0"/>
                <w:sz w:val="21"/>
              </w:rPr>
              <w:t>李___</w:t>
            </w:r>
          </w:p>
        </w:tc>
        <w:tc>
          <w:tcPr>
            <w:tcW w:type="dxa" w:w="1946"/>
          </w:tcPr>
          <w:p>
            <w:pPr>
              <w:spacing w:before="40" w:after="40" w:line="276" w:lineRule="auto"/>
            </w:pPr>
            <w:r>
              <w:rPr>
                <w:rFonts w:ascii="宋体" w:hAnsi="宋体" w:eastAsia="宋体"/>
                <w:b w:val="0"/>
                <w:sz w:val="21"/>
              </w:rPr>
              <w:t>红军引擎与攻击链路开发。负责侦察、策略规划、攻击 DAG 运行时、载荷变异算子与执行器，以及攻击矩阵 14 类用例的整理与维护。</w:t>
            </w:r>
          </w:p>
        </w:tc>
        <w:tc>
          <w:tcPr>
            <w:tcW w:type="dxa" w:w="2565"/>
          </w:tcPr>
          <w:p>
            <w:pPr>
              <w:spacing w:before="40" w:after="40" w:line="276" w:lineRule="auto"/>
            </w:pPr>
            <w:r>
              <w:rPr>
                <w:rFonts w:ascii="宋体" w:hAnsi="宋体" w:eastAsia="宋体"/>
                <w:b w:val="0"/>
                <w:sz w:val="21"/>
              </w:rPr>
              <w:t>红军引擎；攻击矩阵用例；变异算子库</w:t>
            </w:r>
          </w:p>
        </w:tc>
      </w:tr>
      <w:tr>
        <w:tc>
          <w:tcPr>
            <w:tcW w:type="dxa" w:w="3184"/>
          </w:tcPr>
          <w:p>
            <w:pPr>
              <w:spacing w:before="40" w:after="40" w:line="276" w:lineRule="auto"/>
            </w:pPr>
            <w:r>
              <w:rPr>
                <w:rFonts w:ascii="宋体" w:hAnsi="宋体" w:eastAsia="宋体"/>
                <w:b w:val="0"/>
                <w:sz w:val="21"/>
              </w:rPr>
              <w:t>队员</w:t>
            </w:r>
          </w:p>
        </w:tc>
        <w:tc>
          <w:tcPr>
            <w:tcW w:type="dxa" w:w="1150"/>
          </w:tcPr>
          <w:p>
            <w:pPr>
              <w:spacing w:before="40" w:after="40" w:line="276" w:lineRule="auto"/>
            </w:pPr>
            <w:r>
              <w:rPr>
                <w:rFonts w:ascii="宋体" w:hAnsi="宋体" w:eastAsia="宋体"/>
                <w:b w:val="0"/>
                <w:sz w:val="21"/>
              </w:rPr>
              <w:t>王___</w:t>
            </w:r>
          </w:p>
        </w:tc>
        <w:tc>
          <w:tcPr>
            <w:tcW w:type="dxa" w:w="1946"/>
          </w:tcPr>
          <w:p>
            <w:pPr>
              <w:spacing w:before="40" w:after="40" w:line="276" w:lineRule="auto"/>
            </w:pPr>
            <w:r>
              <w:rPr>
                <w:rFonts w:ascii="宋体" w:hAnsi="宋体" w:eastAsia="宋体"/>
                <w:b w:val="0"/>
                <w:sz w:val="21"/>
              </w:rPr>
              <w:t>评分、报告与修复闭环开发。负责 SecScore 六维评分模型、九章报告渲染与导出、根因定位与修复手册，以及复测流程实现。</w:t>
            </w:r>
          </w:p>
        </w:tc>
        <w:tc>
          <w:tcPr>
            <w:tcW w:type="dxa" w:w="2565"/>
          </w:tcPr>
          <w:p>
            <w:pPr>
              <w:spacing w:before="40" w:after="40" w:line="276" w:lineRule="auto"/>
            </w:pPr>
            <w:r>
              <w:rPr>
                <w:rFonts w:ascii="宋体" w:hAnsi="宋体" w:eastAsia="宋体"/>
                <w:b w:val="0"/>
                <w:sz w:val="21"/>
              </w:rPr>
              <w:t>评分模块；九章报告；修复手册与复测</w:t>
            </w:r>
          </w:p>
        </w:tc>
      </w:tr>
      <w:tr>
        <w:tc>
          <w:tcPr>
            <w:tcW w:type="dxa" w:w="3184"/>
          </w:tcPr>
          <w:p>
            <w:pPr>
              <w:spacing w:before="40" w:after="40" w:line="276" w:lineRule="auto"/>
            </w:pPr>
            <w:r>
              <w:rPr>
                <w:rFonts w:ascii="宋体" w:hAnsi="宋体" w:eastAsia="宋体"/>
                <w:b w:val="0"/>
                <w:sz w:val="21"/>
              </w:rPr>
              <w:t>队员</w:t>
            </w:r>
          </w:p>
        </w:tc>
        <w:tc>
          <w:tcPr>
            <w:tcW w:type="dxa" w:w="1150"/>
          </w:tcPr>
          <w:p>
            <w:pPr>
              <w:spacing w:before="40" w:after="40" w:line="276" w:lineRule="auto"/>
            </w:pPr>
            <w:r>
              <w:rPr>
                <w:rFonts w:ascii="宋体" w:hAnsi="宋体" w:eastAsia="宋体"/>
                <w:b w:val="0"/>
                <w:sz w:val="21"/>
              </w:rPr>
              <w:t>赵___</w:t>
            </w:r>
          </w:p>
        </w:tc>
        <w:tc>
          <w:tcPr>
            <w:tcW w:type="dxa" w:w="1946"/>
          </w:tcPr>
          <w:p>
            <w:pPr>
              <w:spacing w:before="40" w:after="40" w:line="276" w:lineRule="auto"/>
            </w:pPr>
            <w:r>
              <w:rPr>
                <w:rFonts w:ascii="宋体" w:hAnsi="宋体" w:eastAsia="宋体"/>
                <w:b w:val="0"/>
                <w:sz w:val="21"/>
              </w:rPr>
              <w:t>前端与交互设计。负责设计体系与组件库、15 个路由级页面、登录页与移动端响应式适配、数据可视化与实时事件订阅。</w:t>
            </w:r>
          </w:p>
        </w:tc>
        <w:tc>
          <w:tcPr>
            <w:tcW w:type="dxa" w:w="2565"/>
          </w:tcPr>
          <w:p>
            <w:pPr>
              <w:spacing w:before="40" w:after="40" w:line="276" w:lineRule="auto"/>
            </w:pPr>
            <w:r>
              <w:rPr>
                <w:rFonts w:ascii="宋体" w:hAnsi="宋体" w:eastAsia="宋体"/>
                <w:b w:val="0"/>
                <w:sz w:val="21"/>
              </w:rPr>
              <w:t>前端应用与组件库；登录界面；响应式适配</w:t>
            </w:r>
          </w:p>
        </w:tc>
      </w:tr>
      <w:tr>
        <w:tc>
          <w:tcPr>
            <w:tcW w:type="dxa" w:w="3184"/>
          </w:tcPr>
          <w:p>
            <w:pPr>
              <w:spacing w:before="40" w:after="40" w:line="276" w:lineRule="auto"/>
            </w:pPr>
            <w:r>
              <w:rPr>
                <w:rFonts w:ascii="宋体" w:hAnsi="宋体" w:eastAsia="宋体"/>
                <w:b w:val="0"/>
                <w:sz w:val="21"/>
              </w:rPr>
              <w:t>队员</w:t>
            </w:r>
          </w:p>
        </w:tc>
        <w:tc>
          <w:tcPr>
            <w:tcW w:type="dxa" w:w="1150"/>
          </w:tcPr>
          <w:p>
            <w:pPr>
              <w:spacing w:before="40" w:after="40" w:line="276" w:lineRule="auto"/>
            </w:pPr>
            <w:r>
              <w:rPr>
                <w:rFonts w:ascii="宋体" w:hAnsi="宋体" w:eastAsia="宋体"/>
                <w:b w:val="0"/>
                <w:sz w:val="21"/>
              </w:rPr>
              <w:t>陈___</w:t>
            </w:r>
          </w:p>
        </w:tc>
        <w:tc>
          <w:tcPr>
            <w:tcW w:type="dxa" w:w="1946"/>
          </w:tcPr>
          <w:p>
            <w:pPr>
              <w:spacing w:before="40" w:after="40" w:line="276" w:lineRule="auto"/>
            </w:pPr>
            <w:r>
              <w:rPr>
                <w:rFonts w:ascii="宋体" w:hAnsi="宋体" w:eastAsia="宋体"/>
                <w:b w:val="0"/>
                <w:sz w:val="21"/>
              </w:rPr>
              <w:t>数据与基础设施。负责数据库模型与迁移、多租户隔离与权限模型、五类存储的降级实现、沙箱编排与出网白名单代理，以及部署编排。</w:t>
            </w:r>
          </w:p>
        </w:tc>
        <w:tc>
          <w:tcPr>
            <w:tcW w:type="dxa" w:w="2565"/>
          </w:tcPr>
          <w:p>
            <w:pPr>
              <w:spacing w:before="40" w:after="40" w:line="276" w:lineRule="auto"/>
            </w:pPr>
            <w:r>
              <w:rPr>
                <w:rFonts w:ascii="宋体" w:hAnsi="宋体" w:eastAsia="宋体"/>
                <w:b w:val="0"/>
                <w:sz w:val="21"/>
              </w:rPr>
              <w:t>数据模型与迁移；存储降级层；沙箱与部署编排</w:t>
            </w:r>
          </w:p>
        </w:tc>
      </w:tr>
    </w:tbl>
    <w:p>
      <w:pPr>
        <w:spacing w:before="60" w:after="200"/>
        <w:jc w:val="center"/>
      </w:pPr>
      <w:r>
        <w:rPr>
          <w:rFonts w:ascii="宋体" w:hAnsi="宋体" w:eastAsia="宋体"/>
          <w:b w:val="0"/>
          <w:color w:val="555555"/>
          <w:sz w:val="21"/>
        </w:rPr>
        <w:t>表 3  团队人员分工</w:t>
      </w:r>
    </w:p>
    <w:p>
      <w:pPr>
        <w:spacing w:after="120" w:before="0" w:line="360" w:lineRule="auto"/>
        <w:ind w:firstLine="480"/>
      </w:pPr>
      <w:r>
        <w:rPr>
          <w:rFonts w:ascii="宋体" w:hAnsi="宋体" w:eastAsia="宋体"/>
          <w:b w:val="0"/>
          <w:sz w:val="24"/>
        </w:rPr>
        <w:t>指导教师：________</w:t>
      </w:r>
    </w:p>
    <w:p>
      <w:pPr>
        <w:spacing w:after="120" w:before="0" w:line="360" w:lineRule="auto"/>
        <w:ind w:firstLine="480"/>
      </w:pPr>
      <w:r>
        <w:rPr>
          <w:rFonts w:ascii="宋体" w:hAnsi="宋体" w:eastAsia="宋体"/>
          <w:b w:val="0"/>
          <w:sz w:val="24"/>
        </w:rPr>
        <w:t>分工说明：以上分工按模块主责划分，实际开发中采用结对方式推进——红军引擎与三级裁判由队长与李___ 结对，评分报告与复测由王___ 与队长结对，前端页面与接口契约由赵___ 与陈___ 结对。全体成员共同参与需求评审、攻击用例设计与测试验收。</w:t>
      </w:r>
    </w:p>
    <w:p>
      <w:pPr>
        <w:pStyle w:val="Heading1"/>
        <w:spacing w:line="336" w:lineRule="auto" w:before="120" w:after="240"/>
      </w:pPr>
      <w:r>
        <w:rPr>
          <w:rFonts w:ascii="黑体" w:hAnsi="黑体" w:eastAsia="黑体"/>
          <w:b/>
          <w:color w:val="1E40AF"/>
          <w:sz w:val="32"/>
        </w:rPr>
        <w:t>六、其他</w:t>
      </w:r>
    </w:p>
    <w:p>
      <w:pPr>
        <w:spacing w:after="120" w:before="0" w:line="360" w:lineRule="auto"/>
        <w:ind w:firstLine="480"/>
      </w:pPr>
      <w:r>
        <w:rPr>
          <w:rFonts w:ascii="宋体" w:hAnsi="宋体" w:eastAsia="宋体"/>
          <w:b w:val="0"/>
          <w:sz w:val="24"/>
        </w:rPr>
        <w:t>本章集中说明运行环境、开发工具、人工智能工具使用情况、开源代码来源与许可，以及评审用测试账号。</w:t>
      </w:r>
    </w:p>
    <w:p>
      <w:pPr>
        <w:pStyle w:val="Heading2"/>
        <w:spacing w:line="336" w:lineRule="auto" w:before="200" w:after="120"/>
      </w:pPr>
      <w:r>
        <w:rPr>
          <w:rFonts w:ascii="黑体" w:hAnsi="黑体" w:eastAsia="黑体"/>
          <w:b/>
          <w:color w:val="222222"/>
          <w:sz w:val="27"/>
        </w:rPr>
        <w:t>（一）硬件环境</w:t>
      </w:r>
    </w:p>
    <w:tbl>
      <w:tblPr>
        <w:tblStyle w:val="TableGrid"/>
        <w:tblW w:type="auto" w:w="0"/>
        <w:jc w:val="center"/>
        <w:tblLook w:firstColumn="1" w:firstRow="1" w:lastColumn="0" w:lastRow="0" w:noHBand="0" w:noVBand="1" w:val="04A0"/>
      </w:tblPr>
      <w:tblGrid>
        <w:gridCol w:w="2948"/>
        <w:gridCol w:w="2948"/>
        <w:gridCol w:w="2948"/>
      </w:tblGrid>
      <w:tr>
        <w:tc>
          <w:tcPr>
            <w:tcW w:type="dxa" w:w="1769"/>
            <w:shd w:val="clear" w:color="auto" w:fill="DDE5F5"/>
          </w:tcPr>
          <w:p>
            <w:pPr>
              <w:spacing w:before="40" w:after="40" w:line="276" w:lineRule="auto"/>
              <w:jc w:val="center"/>
            </w:pPr>
            <w:r>
              <w:rPr>
                <w:rFonts w:ascii="黑体" w:hAnsi="黑体" w:eastAsia="黑体"/>
                <w:b/>
                <w:sz w:val="21"/>
              </w:rPr>
              <w:t>场景</w:t>
            </w:r>
          </w:p>
        </w:tc>
        <w:tc>
          <w:tcPr>
            <w:tcW w:type="dxa" w:w="4068"/>
            <w:shd w:val="clear" w:color="auto" w:fill="DDE5F5"/>
          </w:tcPr>
          <w:p>
            <w:pPr>
              <w:spacing w:before="40" w:after="40" w:line="276" w:lineRule="auto"/>
              <w:jc w:val="center"/>
            </w:pPr>
            <w:r>
              <w:rPr>
                <w:rFonts w:ascii="黑体" w:hAnsi="黑体" w:eastAsia="黑体"/>
                <w:b/>
                <w:sz w:val="21"/>
              </w:rPr>
              <w:t>配置要求</w:t>
            </w:r>
          </w:p>
        </w:tc>
        <w:tc>
          <w:tcPr>
            <w:tcW w:type="dxa" w:w="3007"/>
            <w:shd w:val="clear" w:color="auto" w:fill="DDE5F5"/>
          </w:tcPr>
          <w:p>
            <w:pPr>
              <w:spacing w:before="40" w:after="40" w:line="276" w:lineRule="auto"/>
              <w:jc w:val="center"/>
            </w:pPr>
            <w:r>
              <w:rPr>
                <w:rFonts w:ascii="黑体" w:hAnsi="黑体" w:eastAsia="黑体"/>
                <w:b/>
                <w:sz w:val="21"/>
              </w:rPr>
              <w:t>说明</w:t>
            </w:r>
          </w:p>
        </w:tc>
      </w:tr>
      <w:tr>
        <w:tc>
          <w:tcPr>
            <w:tcW w:type="dxa" w:w="1769"/>
          </w:tcPr>
          <w:p>
            <w:pPr>
              <w:spacing w:before="40" w:after="40" w:line="276" w:lineRule="auto"/>
              <w:jc w:val="center"/>
            </w:pPr>
            <w:r>
              <w:rPr>
                <w:rFonts w:ascii="宋体" w:hAnsi="宋体" w:eastAsia="宋体"/>
                <w:b w:val="0"/>
                <w:sz w:val="21"/>
              </w:rPr>
              <w:t>开发机（推荐）</w:t>
            </w:r>
          </w:p>
        </w:tc>
        <w:tc>
          <w:tcPr>
            <w:tcW w:type="dxa" w:w="4068"/>
          </w:tcPr>
          <w:p>
            <w:pPr>
              <w:spacing w:before="40" w:after="40" w:line="276" w:lineRule="auto"/>
            </w:pPr>
            <w:r>
              <w:rPr>
                <w:rFonts w:ascii="宋体" w:hAnsi="宋体" w:eastAsia="宋体"/>
                <w:b w:val="0"/>
                <w:sz w:val="21"/>
              </w:rPr>
              <w:t>CPU 4 核及以上；内存 16 GB 及以上；可用磁盘 40 GB 及以上；支持 WebGL 的显卡</w:t>
            </w:r>
          </w:p>
        </w:tc>
        <w:tc>
          <w:tcPr>
            <w:tcW w:type="dxa" w:w="3007"/>
          </w:tcPr>
          <w:p>
            <w:pPr>
              <w:spacing w:before="40" w:after="40" w:line="276" w:lineRule="auto"/>
            </w:pPr>
            <w:r>
              <w:rPr>
                <w:rFonts w:ascii="宋体" w:hAnsi="宋体" w:eastAsia="宋体"/>
                <w:b w:val="0"/>
                <w:sz w:val="21"/>
              </w:rPr>
              <w:t>需同时运行编辑器、前端开发服务器与后端服务</w:t>
            </w:r>
          </w:p>
        </w:tc>
      </w:tr>
      <w:tr>
        <w:tc>
          <w:tcPr>
            <w:tcW w:type="dxa" w:w="1769"/>
          </w:tcPr>
          <w:p>
            <w:pPr>
              <w:spacing w:before="40" w:after="40" w:line="276" w:lineRule="auto"/>
              <w:jc w:val="center"/>
            </w:pPr>
            <w:r>
              <w:rPr>
                <w:rFonts w:ascii="宋体" w:hAnsi="宋体" w:eastAsia="宋体"/>
                <w:b w:val="0"/>
                <w:sz w:val="21"/>
              </w:rPr>
              <w:t>开发机（最低）</w:t>
            </w:r>
          </w:p>
        </w:tc>
        <w:tc>
          <w:tcPr>
            <w:tcW w:type="dxa" w:w="4068"/>
          </w:tcPr>
          <w:p>
            <w:pPr>
              <w:spacing w:before="40" w:after="40" w:line="276" w:lineRule="auto"/>
            </w:pPr>
            <w:r>
              <w:rPr>
                <w:rFonts w:ascii="宋体" w:hAnsi="宋体" w:eastAsia="宋体"/>
                <w:b w:val="0"/>
                <w:sz w:val="21"/>
              </w:rPr>
              <w:t>CPU 2 核；内存 8 GB；可用磁盘 20 GB</w:t>
            </w:r>
          </w:p>
        </w:tc>
        <w:tc>
          <w:tcPr>
            <w:tcW w:type="dxa" w:w="3007"/>
          </w:tcPr>
          <w:p>
            <w:pPr>
              <w:spacing w:before="40" w:after="40" w:line="276" w:lineRule="auto"/>
            </w:pPr>
            <w:r>
              <w:rPr>
                <w:rFonts w:ascii="宋体" w:hAnsi="宋体" w:eastAsia="宋体"/>
                <w:b w:val="0"/>
                <w:sz w:val="21"/>
              </w:rPr>
              <w:t>仅运行后端与前端，不启动容器化依赖</w:t>
            </w:r>
          </w:p>
        </w:tc>
      </w:tr>
      <w:tr>
        <w:tc>
          <w:tcPr>
            <w:tcW w:type="dxa" w:w="1769"/>
          </w:tcPr>
          <w:p>
            <w:pPr>
              <w:spacing w:before="40" w:after="40" w:line="276" w:lineRule="auto"/>
              <w:jc w:val="center"/>
            </w:pPr>
            <w:r>
              <w:rPr>
                <w:rFonts w:ascii="宋体" w:hAnsi="宋体" w:eastAsia="宋体"/>
                <w:b w:val="0"/>
                <w:sz w:val="21"/>
              </w:rPr>
              <w:t>服务器（单机演示）</w:t>
            </w:r>
          </w:p>
        </w:tc>
        <w:tc>
          <w:tcPr>
            <w:tcW w:type="dxa" w:w="4068"/>
          </w:tcPr>
          <w:p>
            <w:pPr>
              <w:spacing w:before="40" w:after="40" w:line="276" w:lineRule="auto"/>
            </w:pPr>
            <w:r>
              <w:rPr>
                <w:rFonts w:ascii="宋体" w:hAnsi="宋体" w:eastAsia="宋体"/>
                <w:b w:val="0"/>
                <w:sz w:val="21"/>
              </w:rPr>
              <w:t>CPU 2 核；内存 4 GB；可用磁盘 20 GB</w:t>
            </w:r>
          </w:p>
        </w:tc>
        <w:tc>
          <w:tcPr>
            <w:tcW w:type="dxa" w:w="3007"/>
          </w:tcPr>
          <w:p>
            <w:pPr>
              <w:spacing w:before="40" w:after="40" w:line="276" w:lineRule="auto"/>
            </w:pPr>
            <w:r>
              <w:rPr>
                <w:rFonts w:ascii="宋体" w:hAnsi="宋体" w:eastAsia="宋体"/>
                <w:b w:val="0"/>
                <w:sz w:val="21"/>
              </w:rPr>
              <w:t>零中间件降级模式下可完整跑通全流程</w:t>
            </w:r>
          </w:p>
        </w:tc>
      </w:tr>
      <w:tr>
        <w:tc>
          <w:tcPr>
            <w:tcW w:type="dxa" w:w="1769"/>
          </w:tcPr>
          <w:p>
            <w:pPr>
              <w:spacing w:before="40" w:after="40" w:line="276" w:lineRule="auto"/>
              <w:jc w:val="center"/>
            </w:pPr>
            <w:r>
              <w:rPr>
                <w:rFonts w:ascii="宋体" w:hAnsi="宋体" w:eastAsia="宋体"/>
                <w:b w:val="0"/>
                <w:sz w:val="21"/>
              </w:rPr>
              <w:t>服务器（生产）</w:t>
            </w:r>
          </w:p>
        </w:tc>
        <w:tc>
          <w:tcPr>
            <w:tcW w:type="dxa" w:w="4068"/>
          </w:tcPr>
          <w:p>
            <w:pPr>
              <w:spacing w:before="40" w:after="40" w:line="276" w:lineRule="auto"/>
            </w:pPr>
            <w:r>
              <w:rPr>
                <w:rFonts w:ascii="宋体" w:hAnsi="宋体" w:eastAsia="宋体"/>
                <w:b w:val="0"/>
                <w:sz w:val="21"/>
              </w:rPr>
              <w:t>CPU 8 核及以上；内存 16 GB 及以上；可用磁盘 200 GB 及以上 SSD；千兆网卡</w:t>
            </w:r>
          </w:p>
        </w:tc>
        <w:tc>
          <w:tcPr>
            <w:tcW w:type="dxa" w:w="3007"/>
          </w:tcPr>
          <w:p>
            <w:pPr>
              <w:spacing w:before="40" w:after="40" w:line="276" w:lineRule="auto"/>
            </w:pPr>
            <w:r>
              <w:rPr>
                <w:rFonts w:ascii="宋体" w:hAnsi="宋体" w:eastAsia="宋体"/>
                <w:b w:val="0"/>
                <w:sz w:val="21"/>
              </w:rPr>
              <w:t>承载数据库、分析库、向量库与对象存储等容器化依赖</w:t>
            </w:r>
          </w:p>
        </w:tc>
      </w:tr>
      <w:tr>
        <w:tc>
          <w:tcPr>
            <w:tcW w:type="dxa" w:w="1769"/>
          </w:tcPr>
          <w:p>
            <w:pPr>
              <w:spacing w:before="40" w:after="40" w:line="276" w:lineRule="auto"/>
              <w:jc w:val="center"/>
            </w:pPr>
            <w:r>
              <w:rPr>
                <w:rFonts w:ascii="宋体" w:hAnsi="宋体" w:eastAsia="宋体"/>
                <w:b w:val="0"/>
                <w:sz w:val="21"/>
              </w:rPr>
              <w:t>客户端</w:t>
            </w:r>
          </w:p>
        </w:tc>
        <w:tc>
          <w:tcPr>
            <w:tcW w:type="dxa" w:w="4068"/>
          </w:tcPr>
          <w:p>
            <w:pPr>
              <w:spacing w:before="40" w:after="40" w:line="276" w:lineRule="auto"/>
            </w:pPr>
            <w:r>
              <w:rPr>
                <w:rFonts w:ascii="宋体" w:hAnsi="宋体" w:eastAsia="宋体"/>
                <w:b w:val="0"/>
                <w:sz w:val="21"/>
              </w:rPr>
              <w:t>智能手机、平板或桌面电脑，屏幕宽度 ≥ 375 px，具备现代浏览器</w:t>
            </w:r>
          </w:p>
        </w:tc>
        <w:tc>
          <w:tcPr>
            <w:tcW w:type="dxa" w:w="3007"/>
          </w:tcPr>
          <w:p>
            <w:pPr>
              <w:spacing w:before="40" w:after="40" w:line="276" w:lineRule="auto"/>
            </w:pPr>
            <w:r>
              <w:rPr>
                <w:rFonts w:ascii="宋体" w:hAnsi="宋体" w:eastAsia="宋体"/>
                <w:b w:val="0"/>
                <w:sz w:val="21"/>
              </w:rPr>
              <w:t>移动端通过浏览器访问，无需安装客户端</w:t>
            </w:r>
          </w:p>
        </w:tc>
      </w:tr>
    </w:tbl>
    <w:p>
      <w:pPr>
        <w:spacing w:before="60" w:after="200"/>
        <w:jc w:val="center"/>
      </w:pPr>
      <w:r>
        <w:rPr>
          <w:rFonts w:ascii="宋体" w:hAnsi="宋体" w:eastAsia="宋体"/>
          <w:b w:val="0"/>
          <w:color w:val="555555"/>
          <w:sz w:val="21"/>
        </w:rPr>
        <w:t>表 4  硬件环境要求</w:t>
      </w:r>
    </w:p>
    <w:p>
      <w:pPr>
        <w:pStyle w:val="Heading2"/>
        <w:spacing w:line="336" w:lineRule="auto" w:before="200" w:after="120"/>
      </w:pPr>
      <w:r>
        <w:rPr>
          <w:rFonts w:ascii="黑体" w:hAnsi="黑体" w:eastAsia="黑体"/>
          <w:b/>
          <w:color w:val="222222"/>
          <w:sz w:val="27"/>
        </w:rPr>
        <w:t>（二）软件环境</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3184"/>
            <w:shd w:val="clear" w:color="auto" w:fill="DDE5F5"/>
          </w:tcPr>
          <w:p>
            <w:pPr>
              <w:spacing w:before="40" w:after="40" w:line="276" w:lineRule="auto"/>
              <w:jc w:val="center"/>
            </w:pPr>
            <w:r>
              <w:rPr>
                <w:rFonts w:ascii="黑体" w:hAnsi="黑体" w:eastAsia="黑体"/>
                <w:b/>
                <w:sz w:val="21"/>
              </w:rPr>
              <w:t>类别</w:t>
            </w:r>
          </w:p>
        </w:tc>
        <w:tc>
          <w:tcPr>
            <w:tcW w:type="dxa" w:w="1150"/>
            <w:shd w:val="clear" w:color="auto" w:fill="DDE5F5"/>
          </w:tcPr>
          <w:p>
            <w:pPr>
              <w:spacing w:before="40" w:after="40" w:line="276" w:lineRule="auto"/>
              <w:jc w:val="center"/>
            </w:pPr>
            <w:r>
              <w:rPr>
                <w:rFonts w:ascii="黑体" w:hAnsi="黑体" w:eastAsia="黑体"/>
                <w:b/>
                <w:sz w:val="21"/>
              </w:rPr>
              <w:t>软件 / 组件</w:t>
            </w:r>
          </w:p>
        </w:tc>
        <w:tc>
          <w:tcPr>
            <w:tcW w:type="dxa" w:w="1946"/>
            <w:shd w:val="clear" w:color="auto" w:fill="DDE5F5"/>
          </w:tcPr>
          <w:p>
            <w:pPr>
              <w:spacing w:before="40" w:after="40" w:line="276" w:lineRule="auto"/>
              <w:jc w:val="center"/>
            </w:pPr>
            <w:r>
              <w:rPr>
                <w:rFonts w:ascii="黑体" w:hAnsi="黑体" w:eastAsia="黑体"/>
                <w:b/>
                <w:sz w:val="21"/>
              </w:rPr>
              <w:t>版本</w:t>
            </w:r>
          </w:p>
        </w:tc>
        <w:tc>
          <w:tcPr>
            <w:tcW w:type="dxa" w:w="2565"/>
            <w:shd w:val="clear" w:color="auto" w:fill="DDE5F5"/>
          </w:tcPr>
          <w:p>
            <w:pPr>
              <w:spacing w:before="40" w:after="40" w:line="276" w:lineRule="auto"/>
              <w:jc w:val="center"/>
            </w:pPr>
            <w:r>
              <w:rPr>
                <w:rFonts w:ascii="黑体" w:hAnsi="黑体" w:eastAsia="黑体"/>
                <w:b/>
                <w:sz w:val="21"/>
              </w:rPr>
              <w:t>用途</w:t>
            </w:r>
          </w:p>
        </w:tc>
      </w:tr>
      <w:tr>
        <w:tc>
          <w:tcPr>
            <w:tcW w:type="dxa" w:w="3184"/>
          </w:tcPr>
          <w:p>
            <w:pPr>
              <w:spacing w:before="40" w:after="40" w:line="276" w:lineRule="auto"/>
            </w:pPr>
            <w:r>
              <w:rPr>
                <w:rFonts w:ascii="宋体" w:hAnsi="宋体" w:eastAsia="宋体"/>
                <w:b w:val="0"/>
                <w:sz w:val="21"/>
              </w:rPr>
              <w:t>系统</w:t>
            </w:r>
          </w:p>
        </w:tc>
        <w:tc>
          <w:tcPr>
            <w:tcW w:type="dxa" w:w="1150"/>
          </w:tcPr>
          <w:p>
            <w:pPr>
              <w:spacing w:before="40" w:after="40" w:line="276" w:lineRule="auto"/>
            </w:pPr>
            <w:r>
              <w:rPr>
                <w:rFonts w:ascii="宋体" w:hAnsi="宋体" w:eastAsia="宋体"/>
                <w:b w:val="0"/>
                <w:sz w:val="21"/>
              </w:rPr>
              <w:t>Windows / Linux / macOS</w:t>
            </w:r>
          </w:p>
        </w:tc>
        <w:tc>
          <w:tcPr>
            <w:tcW w:type="dxa" w:w="1946"/>
          </w:tcPr>
          <w:p>
            <w:pPr>
              <w:spacing w:before="40" w:after="40" w:line="276" w:lineRule="auto"/>
            </w:pPr>
            <w:r>
              <w:rPr>
                <w:rFonts w:ascii="宋体" w:hAnsi="宋体" w:eastAsia="宋体"/>
                <w:b w:val="0"/>
                <w:sz w:val="21"/>
              </w:rPr>
              <w:t>Windows 10+、主流发行版均可</w:t>
            </w:r>
          </w:p>
        </w:tc>
        <w:tc>
          <w:tcPr>
            <w:tcW w:type="dxa" w:w="2565"/>
          </w:tcPr>
          <w:p>
            <w:pPr>
              <w:spacing w:before="40" w:after="40" w:line="276" w:lineRule="auto"/>
            </w:pPr>
            <w:r>
              <w:rPr>
                <w:rFonts w:ascii="宋体" w:hAnsi="宋体" w:eastAsia="宋体"/>
                <w:b w:val="0"/>
                <w:sz w:val="21"/>
              </w:rPr>
              <w:t>开发与运行操作系统</w:t>
            </w:r>
          </w:p>
        </w:tc>
      </w:tr>
      <w:tr>
        <w:tc>
          <w:tcPr>
            <w:tcW w:type="dxa" w:w="3184"/>
          </w:tcPr>
          <w:p>
            <w:pPr>
              <w:spacing w:before="40" w:after="40" w:line="276" w:lineRule="auto"/>
            </w:pPr>
            <w:r>
              <w:rPr>
                <w:rFonts w:ascii="宋体" w:hAnsi="宋体" w:eastAsia="宋体"/>
                <w:b w:val="0"/>
                <w:sz w:val="21"/>
              </w:rPr>
              <w:t>运行时</w:t>
            </w:r>
          </w:p>
        </w:tc>
        <w:tc>
          <w:tcPr>
            <w:tcW w:type="dxa" w:w="1150"/>
          </w:tcPr>
          <w:p>
            <w:pPr>
              <w:spacing w:before="40" w:after="40" w:line="276" w:lineRule="auto"/>
            </w:pPr>
            <w:r>
              <w:rPr>
                <w:rFonts w:ascii="宋体" w:hAnsi="宋体" w:eastAsia="宋体"/>
                <w:b w:val="0"/>
                <w:sz w:val="21"/>
              </w:rPr>
              <w:t>Python</w:t>
            </w:r>
          </w:p>
        </w:tc>
        <w:tc>
          <w:tcPr>
            <w:tcW w:type="dxa" w:w="1946"/>
          </w:tcPr>
          <w:p>
            <w:pPr>
              <w:spacing w:before="40" w:after="40" w:line="276" w:lineRule="auto"/>
            </w:pPr>
            <w:r>
              <w:rPr>
                <w:rFonts w:ascii="宋体" w:hAnsi="宋体" w:eastAsia="宋体"/>
                <w:b w:val="0"/>
                <w:sz w:val="21"/>
              </w:rPr>
              <w:t>3.12 及以上</w:t>
            </w:r>
          </w:p>
        </w:tc>
        <w:tc>
          <w:tcPr>
            <w:tcW w:type="dxa" w:w="2565"/>
          </w:tcPr>
          <w:p>
            <w:pPr>
              <w:spacing w:before="40" w:after="40" w:line="276" w:lineRule="auto"/>
            </w:pPr>
            <w:r>
              <w:rPr>
                <w:rFonts w:ascii="宋体" w:hAnsi="宋体" w:eastAsia="宋体"/>
                <w:b w:val="0"/>
                <w:sz w:val="21"/>
              </w:rPr>
              <w:t>后端语言运行时</w:t>
            </w:r>
          </w:p>
        </w:tc>
      </w:tr>
      <w:tr>
        <w:tc>
          <w:tcPr>
            <w:tcW w:type="dxa" w:w="3184"/>
          </w:tcPr>
          <w:p>
            <w:pPr>
              <w:spacing w:before="40" w:after="40" w:line="276" w:lineRule="auto"/>
            </w:pPr>
            <w:r>
              <w:rPr>
                <w:rFonts w:ascii="宋体" w:hAnsi="宋体" w:eastAsia="宋体"/>
                <w:b w:val="0"/>
                <w:sz w:val="21"/>
              </w:rPr>
              <w:t>运行时</w:t>
            </w:r>
          </w:p>
        </w:tc>
        <w:tc>
          <w:tcPr>
            <w:tcW w:type="dxa" w:w="1150"/>
          </w:tcPr>
          <w:p>
            <w:pPr>
              <w:spacing w:before="40" w:after="40" w:line="276" w:lineRule="auto"/>
            </w:pPr>
            <w:r>
              <w:rPr>
                <w:rFonts w:ascii="宋体" w:hAnsi="宋体" w:eastAsia="宋体"/>
                <w:b w:val="0"/>
                <w:sz w:val="21"/>
              </w:rPr>
              <w:t>Node.js</w:t>
            </w:r>
          </w:p>
        </w:tc>
        <w:tc>
          <w:tcPr>
            <w:tcW w:type="dxa" w:w="1946"/>
          </w:tcPr>
          <w:p>
            <w:pPr>
              <w:spacing w:before="40" w:after="40" w:line="276" w:lineRule="auto"/>
            </w:pPr>
            <w:r>
              <w:rPr>
                <w:rFonts w:ascii="宋体" w:hAnsi="宋体" w:eastAsia="宋体"/>
                <w:b w:val="0"/>
                <w:sz w:val="21"/>
              </w:rPr>
              <w:t>20.19 及以上</w:t>
            </w:r>
          </w:p>
        </w:tc>
        <w:tc>
          <w:tcPr>
            <w:tcW w:type="dxa" w:w="2565"/>
          </w:tcPr>
          <w:p>
            <w:pPr>
              <w:spacing w:before="40" w:after="40" w:line="276" w:lineRule="auto"/>
            </w:pPr>
            <w:r>
              <w:rPr>
                <w:rFonts w:ascii="宋体" w:hAnsi="宋体" w:eastAsia="宋体"/>
                <w:b w:val="0"/>
                <w:sz w:val="21"/>
              </w:rPr>
              <w:t>前端构建运行时</w:t>
            </w:r>
          </w:p>
        </w:tc>
      </w:tr>
      <w:tr>
        <w:tc>
          <w:tcPr>
            <w:tcW w:type="dxa" w:w="3184"/>
          </w:tcPr>
          <w:p>
            <w:pPr>
              <w:spacing w:before="40" w:after="40" w:line="276" w:lineRule="auto"/>
            </w:pPr>
            <w:r>
              <w:rPr>
                <w:rFonts w:ascii="宋体" w:hAnsi="宋体" w:eastAsia="宋体"/>
                <w:b w:val="0"/>
                <w:sz w:val="21"/>
              </w:rPr>
              <w:t>包管理</w:t>
            </w:r>
          </w:p>
        </w:tc>
        <w:tc>
          <w:tcPr>
            <w:tcW w:type="dxa" w:w="1150"/>
          </w:tcPr>
          <w:p>
            <w:pPr>
              <w:spacing w:before="40" w:after="40" w:line="276" w:lineRule="auto"/>
            </w:pPr>
            <w:r>
              <w:rPr>
                <w:rFonts w:ascii="宋体" w:hAnsi="宋体" w:eastAsia="宋体"/>
                <w:b w:val="0"/>
                <w:sz w:val="21"/>
              </w:rPr>
              <w:t>pnpm</w:t>
            </w:r>
          </w:p>
        </w:tc>
        <w:tc>
          <w:tcPr>
            <w:tcW w:type="dxa" w:w="1946"/>
          </w:tcPr>
          <w:p>
            <w:pPr>
              <w:spacing w:before="40" w:after="40" w:line="276" w:lineRule="auto"/>
            </w:pPr>
            <w:r>
              <w:rPr>
                <w:rFonts w:ascii="宋体" w:hAnsi="宋体" w:eastAsia="宋体"/>
                <w:b w:val="0"/>
                <w:sz w:val="21"/>
              </w:rPr>
              <w:t>9 及以上</w:t>
            </w:r>
          </w:p>
        </w:tc>
        <w:tc>
          <w:tcPr>
            <w:tcW w:type="dxa" w:w="2565"/>
          </w:tcPr>
          <w:p>
            <w:pPr>
              <w:spacing w:before="40" w:after="40" w:line="276" w:lineRule="auto"/>
            </w:pPr>
            <w:r>
              <w:rPr>
                <w:rFonts w:ascii="宋体" w:hAnsi="宋体" w:eastAsia="宋体"/>
                <w:b w:val="0"/>
                <w:sz w:val="21"/>
              </w:rPr>
              <w:t>前端多包单仓依赖管理</w:t>
            </w:r>
          </w:p>
        </w:tc>
      </w:tr>
      <w:tr>
        <w:tc>
          <w:tcPr>
            <w:tcW w:type="dxa" w:w="3184"/>
          </w:tcPr>
          <w:p>
            <w:pPr>
              <w:spacing w:before="40" w:after="40" w:line="276" w:lineRule="auto"/>
            </w:pPr>
            <w:r>
              <w:rPr>
                <w:rFonts w:ascii="宋体" w:hAnsi="宋体" w:eastAsia="宋体"/>
                <w:b w:val="0"/>
                <w:sz w:val="21"/>
              </w:rPr>
              <w:t>数据库</w:t>
            </w:r>
          </w:p>
        </w:tc>
        <w:tc>
          <w:tcPr>
            <w:tcW w:type="dxa" w:w="1150"/>
          </w:tcPr>
          <w:p>
            <w:pPr>
              <w:spacing w:before="40" w:after="40" w:line="276" w:lineRule="auto"/>
            </w:pPr>
            <w:r>
              <w:rPr>
                <w:rFonts w:ascii="宋体" w:hAnsi="宋体" w:eastAsia="宋体"/>
                <w:b w:val="0"/>
                <w:sz w:val="21"/>
              </w:rPr>
              <w:t>PostgreSQL</w:t>
            </w:r>
          </w:p>
        </w:tc>
        <w:tc>
          <w:tcPr>
            <w:tcW w:type="dxa" w:w="1946"/>
          </w:tcPr>
          <w:p>
            <w:pPr>
              <w:spacing w:before="40" w:after="40" w:line="276" w:lineRule="auto"/>
            </w:pPr>
            <w:r>
              <w:rPr>
                <w:rFonts w:ascii="宋体" w:hAnsi="宋体" w:eastAsia="宋体"/>
                <w:b w:val="0"/>
                <w:sz w:val="21"/>
              </w:rPr>
              <w:t>16</w:t>
            </w:r>
          </w:p>
        </w:tc>
        <w:tc>
          <w:tcPr>
            <w:tcW w:type="dxa" w:w="2565"/>
          </w:tcPr>
          <w:p>
            <w:pPr>
              <w:spacing w:before="40" w:after="40" w:line="276" w:lineRule="auto"/>
            </w:pPr>
            <w:r>
              <w:rPr>
                <w:rFonts w:ascii="宋体" w:hAnsi="宋体" w:eastAsia="宋体"/>
                <w:b w:val="0"/>
                <w:sz w:val="21"/>
              </w:rPr>
              <w:t>事务型元数据（可降级为 SQLite）</w:t>
            </w:r>
          </w:p>
        </w:tc>
      </w:tr>
      <w:tr>
        <w:tc>
          <w:tcPr>
            <w:tcW w:type="dxa" w:w="3184"/>
          </w:tcPr>
          <w:p>
            <w:pPr>
              <w:spacing w:before="40" w:after="40" w:line="276" w:lineRule="auto"/>
            </w:pPr>
            <w:r>
              <w:rPr>
                <w:rFonts w:ascii="宋体" w:hAnsi="宋体" w:eastAsia="宋体"/>
                <w:b w:val="0"/>
                <w:sz w:val="21"/>
              </w:rPr>
              <w:t>缓存</w:t>
            </w:r>
          </w:p>
        </w:tc>
        <w:tc>
          <w:tcPr>
            <w:tcW w:type="dxa" w:w="1150"/>
          </w:tcPr>
          <w:p>
            <w:pPr>
              <w:spacing w:before="40" w:after="40" w:line="276" w:lineRule="auto"/>
            </w:pPr>
            <w:r>
              <w:rPr>
                <w:rFonts w:ascii="宋体" w:hAnsi="宋体" w:eastAsia="宋体"/>
                <w:b w:val="0"/>
                <w:sz w:val="21"/>
              </w:rPr>
              <w:t>Redis</w:t>
            </w:r>
          </w:p>
        </w:tc>
        <w:tc>
          <w:tcPr>
            <w:tcW w:type="dxa" w:w="1946"/>
          </w:tcPr>
          <w:p>
            <w:pPr>
              <w:spacing w:before="40" w:after="40" w:line="276" w:lineRule="auto"/>
            </w:pPr>
            <w:r>
              <w:rPr>
                <w:rFonts w:ascii="宋体" w:hAnsi="宋体" w:eastAsia="宋体"/>
                <w:b w:val="0"/>
                <w:sz w:val="21"/>
              </w:rPr>
              <w:t>7</w:t>
            </w:r>
          </w:p>
        </w:tc>
        <w:tc>
          <w:tcPr>
            <w:tcW w:type="dxa" w:w="2565"/>
          </w:tcPr>
          <w:p>
            <w:pPr>
              <w:spacing w:before="40" w:after="40" w:line="276" w:lineRule="auto"/>
            </w:pPr>
            <w:r>
              <w:rPr>
                <w:rFonts w:ascii="宋体" w:hAnsi="宋体" w:eastAsia="宋体"/>
                <w:b w:val="0"/>
                <w:sz w:val="21"/>
              </w:rPr>
              <w:t>限流、熔断与事件总线（可降级为进程内实现）</w:t>
            </w:r>
          </w:p>
        </w:tc>
      </w:tr>
      <w:tr>
        <w:tc>
          <w:tcPr>
            <w:tcW w:type="dxa" w:w="3184"/>
          </w:tcPr>
          <w:p>
            <w:pPr>
              <w:spacing w:before="40" w:after="40" w:line="276" w:lineRule="auto"/>
            </w:pPr>
            <w:r>
              <w:rPr>
                <w:rFonts w:ascii="宋体" w:hAnsi="宋体" w:eastAsia="宋体"/>
                <w:b w:val="0"/>
                <w:sz w:val="21"/>
              </w:rPr>
              <w:t>分析库</w:t>
            </w:r>
          </w:p>
        </w:tc>
        <w:tc>
          <w:tcPr>
            <w:tcW w:type="dxa" w:w="1150"/>
          </w:tcPr>
          <w:p>
            <w:pPr>
              <w:spacing w:before="40" w:after="40" w:line="276" w:lineRule="auto"/>
            </w:pPr>
            <w:r>
              <w:rPr>
                <w:rFonts w:ascii="宋体" w:hAnsi="宋体" w:eastAsia="宋体"/>
                <w:b w:val="0"/>
                <w:sz w:val="21"/>
              </w:rPr>
              <w:t>ClickHouse</w:t>
            </w:r>
          </w:p>
        </w:tc>
        <w:tc>
          <w:tcPr>
            <w:tcW w:type="dxa" w:w="1946"/>
          </w:tcPr>
          <w:p>
            <w:pPr>
              <w:spacing w:before="40" w:after="40" w:line="276" w:lineRule="auto"/>
            </w:pPr>
            <w:r>
              <w:rPr>
                <w:rFonts w:ascii="宋体" w:hAnsi="宋体" w:eastAsia="宋体"/>
                <w:b w:val="0"/>
                <w:sz w:val="21"/>
              </w:rPr>
              <w:t>24</w:t>
            </w:r>
          </w:p>
        </w:tc>
        <w:tc>
          <w:tcPr>
            <w:tcW w:type="dxa" w:w="2565"/>
          </w:tcPr>
          <w:p>
            <w:pPr>
              <w:spacing w:before="40" w:after="40" w:line="276" w:lineRule="auto"/>
            </w:pPr>
            <w:r>
              <w:rPr>
                <w:rFonts w:ascii="宋体" w:hAnsi="宋体" w:eastAsia="宋体"/>
                <w:b w:val="0"/>
                <w:sz w:val="21"/>
              </w:rPr>
              <w:t>trace 事件流与判定流水（可降级）</w:t>
            </w:r>
          </w:p>
        </w:tc>
      </w:tr>
      <w:tr>
        <w:tc>
          <w:tcPr>
            <w:tcW w:type="dxa" w:w="3184"/>
          </w:tcPr>
          <w:p>
            <w:pPr>
              <w:spacing w:before="40" w:after="40" w:line="276" w:lineRule="auto"/>
            </w:pPr>
            <w:r>
              <w:rPr>
                <w:rFonts w:ascii="宋体" w:hAnsi="宋体" w:eastAsia="宋体"/>
                <w:b w:val="0"/>
                <w:sz w:val="21"/>
              </w:rPr>
              <w:t>向量库</w:t>
            </w:r>
          </w:p>
        </w:tc>
        <w:tc>
          <w:tcPr>
            <w:tcW w:type="dxa" w:w="1150"/>
          </w:tcPr>
          <w:p>
            <w:pPr>
              <w:spacing w:before="40" w:after="40" w:line="276" w:lineRule="auto"/>
            </w:pPr>
            <w:r>
              <w:rPr>
                <w:rFonts w:ascii="宋体" w:hAnsi="宋体" w:eastAsia="宋体"/>
                <w:b w:val="0"/>
                <w:sz w:val="21"/>
              </w:rPr>
              <w:t>Qdrant</w:t>
            </w:r>
          </w:p>
        </w:tc>
        <w:tc>
          <w:tcPr>
            <w:tcW w:type="dxa" w:w="1946"/>
          </w:tcPr>
          <w:p>
            <w:pPr>
              <w:spacing w:before="40" w:after="40" w:line="276" w:lineRule="auto"/>
            </w:pPr>
            <w:r>
              <w:rPr>
                <w:rFonts w:ascii="宋体" w:hAnsi="宋体" w:eastAsia="宋体"/>
                <w:b w:val="0"/>
                <w:sz w:val="21"/>
              </w:rPr>
              <w:t>1.12</w:t>
            </w:r>
          </w:p>
        </w:tc>
        <w:tc>
          <w:tcPr>
            <w:tcW w:type="dxa" w:w="2565"/>
          </w:tcPr>
          <w:p>
            <w:pPr>
              <w:spacing w:before="40" w:after="40" w:line="276" w:lineRule="auto"/>
            </w:pPr>
            <w:r>
              <w:rPr>
                <w:rFonts w:ascii="宋体" w:hAnsi="宋体" w:eastAsia="宋体"/>
                <w:b w:val="0"/>
                <w:sz w:val="21"/>
              </w:rPr>
              <w:t>攻击用例向量检索（可降级为词法匹配）</w:t>
            </w:r>
          </w:p>
        </w:tc>
      </w:tr>
      <w:tr>
        <w:tc>
          <w:tcPr>
            <w:tcW w:type="dxa" w:w="3184"/>
          </w:tcPr>
          <w:p>
            <w:pPr>
              <w:spacing w:before="40" w:after="40" w:line="276" w:lineRule="auto"/>
            </w:pPr>
            <w:r>
              <w:rPr>
                <w:rFonts w:ascii="宋体" w:hAnsi="宋体" w:eastAsia="宋体"/>
                <w:b w:val="0"/>
                <w:sz w:val="21"/>
              </w:rPr>
              <w:t>对象存储</w:t>
            </w:r>
          </w:p>
        </w:tc>
        <w:tc>
          <w:tcPr>
            <w:tcW w:type="dxa" w:w="1150"/>
          </w:tcPr>
          <w:p>
            <w:pPr>
              <w:spacing w:before="40" w:after="40" w:line="276" w:lineRule="auto"/>
            </w:pPr>
            <w:r>
              <w:rPr>
                <w:rFonts w:ascii="宋体" w:hAnsi="宋体" w:eastAsia="宋体"/>
                <w:b w:val="0"/>
                <w:sz w:val="21"/>
              </w:rPr>
              <w:t>MinIO</w:t>
            </w:r>
          </w:p>
        </w:tc>
        <w:tc>
          <w:tcPr>
            <w:tcW w:type="dxa" w:w="1946"/>
          </w:tcPr>
          <w:p>
            <w:pPr>
              <w:spacing w:before="40" w:after="40" w:line="276" w:lineRule="auto"/>
            </w:pPr>
            <w:r>
              <w:rPr>
                <w:rFonts w:ascii="宋体" w:hAnsi="宋体" w:eastAsia="宋体"/>
                <w:b w:val="0"/>
                <w:sz w:val="21"/>
              </w:rPr>
              <w:t>RELEASE.2024-09-22</w:t>
            </w:r>
          </w:p>
        </w:tc>
        <w:tc>
          <w:tcPr>
            <w:tcW w:type="dxa" w:w="2565"/>
          </w:tcPr>
          <w:p>
            <w:pPr>
              <w:spacing w:before="40" w:after="40" w:line="276" w:lineRule="auto"/>
            </w:pPr>
            <w:r>
              <w:rPr>
                <w:rFonts w:ascii="宋体" w:hAnsi="宋体" w:eastAsia="宋体"/>
                <w:b w:val="0"/>
                <w:sz w:val="21"/>
              </w:rPr>
              <w:t>报告产物与快照归档（可降级为本地目录）</w:t>
            </w:r>
          </w:p>
        </w:tc>
      </w:tr>
      <w:tr>
        <w:tc>
          <w:tcPr>
            <w:tcW w:type="dxa" w:w="3184"/>
          </w:tcPr>
          <w:p>
            <w:pPr>
              <w:spacing w:before="40" w:after="40" w:line="276" w:lineRule="auto"/>
            </w:pPr>
            <w:r>
              <w:rPr>
                <w:rFonts w:ascii="宋体" w:hAnsi="宋体" w:eastAsia="宋体"/>
                <w:b w:val="0"/>
                <w:sz w:val="21"/>
              </w:rPr>
              <w:t>容器</w:t>
            </w:r>
          </w:p>
        </w:tc>
        <w:tc>
          <w:tcPr>
            <w:tcW w:type="dxa" w:w="1150"/>
          </w:tcPr>
          <w:p>
            <w:pPr>
              <w:spacing w:before="40" w:after="40" w:line="276" w:lineRule="auto"/>
            </w:pPr>
            <w:r>
              <w:rPr>
                <w:rFonts w:ascii="宋体" w:hAnsi="宋体" w:eastAsia="宋体"/>
                <w:b w:val="0"/>
                <w:sz w:val="21"/>
              </w:rPr>
              <w:t>Docker</w:t>
            </w:r>
          </w:p>
        </w:tc>
        <w:tc>
          <w:tcPr>
            <w:tcW w:type="dxa" w:w="1946"/>
          </w:tcPr>
          <w:p>
            <w:pPr>
              <w:spacing w:before="40" w:after="40" w:line="276" w:lineRule="auto"/>
            </w:pPr>
            <w:r>
              <w:rPr>
                <w:rFonts w:ascii="宋体" w:hAnsi="宋体" w:eastAsia="宋体"/>
                <w:b w:val="0"/>
                <w:sz w:val="21"/>
              </w:rPr>
              <w:t>24 及以上</w:t>
            </w:r>
          </w:p>
        </w:tc>
        <w:tc>
          <w:tcPr>
            <w:tcW w:type="dxa" w:w="2565"/>
          </w:tcPr>
          <w:p>
            <w:pPr>
              <w:spacing w:before="40" w:after="40" w:line="276" w:lineRule="auto"/>
            </w:pPr>
            <w:r>
              <w:rPr>
                <w:rFonts w:ascii="宋体" w:hAnsi="宋体" w:eastAsia="宋体"/>
                <w:b w:val="0"/>
                <w:sz w:val="21"/>
              </w:rPr>
              <w:t>中间件编排与沙箱实例（演示模式可不装）</w:t>
            </w:r>
          </w:p>
        </w:tc>
      </w:tr>
      <w:tr>
        <w:tc>
          <w:tcPr>
            <w:tcW w:type="dxa" w:w="3184"/>
          </w:tcPr>
          <w:p>
            <w:pPr>
              <w:spacing w:before="40" w:after="40" w:line="276" w:lineRule="auto"/>
            </w:pPr>
            <w:r>
              <w:rPr>
                <w:rFonts w:ascii="宋体" w:hAnsi="宋体" w:eastAsia="宋体"/>
                <w:b w:val="0"/>
                <w:sz w:val="21"/>
              </w:rPr>
              <w:t>浏览器</w:t>
            </w:r>
          </w:p>
        </w:tc>
        <w:tc>
          <w:tcPr>
            <w:tcW w:type="dxa" w:w="1150"/>
          </w:tcPr>
          <w:p>
            <w:pPr>
              <w:spacing w:before="40" w:after="40" w:line="276" w:lineRule="auto"/>
            </w:pPr>
            <w:r>
              <w:rPr>
                <w:rFonts w:ascii="宋体" w:hAnsi="宋体" w:eastAsia="宋体"/>
                <w:b w:val="0"/>
                <w:sz w:val="21"/>
              </w:rPr>
              <w:t>Chrome / Edge / Safari / Firefox</w:t>
            </w:r>
          </w:p>
        </w:tc>
        <w:tc>
          <w:tcPr>
            <w:tcW w:type="dxa" w:w="1946"/>
          </w:tcPr>
          <w:p>
            <w:pPr>
              <w:spacing w:before="40" w:after="40" w:line="276" w:lineRule="auto"/>
            </w:pPr>
            <w:r>
              <w:rPr>
                <w:rFonts w:ascii="宋体" w:hAnsi="宋体" w:eastAsia="宋体"/>
                <w:b w:val="0"/>
                <w:sz w:val="21"/>
              </w:rPr>
              <w:t>Chrome 90+、Safari 15+、Firefox 90+</w:t>
            </w:r>
          </w:p>
        </w:tc>
        <w:tc>
          <w:tcPr>
            <w:tcW w:type="dxa" w:w="2565"/>
          </w:tcPr>
          <w:p>
            <w:pPr>
              <w:spacing w:before="40" w:after="40" w:line="276" w:lineRule="auto"/>
            </w:pPr>
            <w:r>
              <w:rPr>
                <w:rFonts w:ascii="宋体" w:hAnsi="宋体" w:eastAsia="宋体"/>
                <w:b w:val="0"/>
                <w:sz w:val="21"/>
              </w:rPr>
              <w:t>客户端运行环境</w:t>
            </w:r>
          </w:p>
        </w:tc>
      </w:tr>
    </w:tbl>
    <w:p>
      <w:pPr>
        <w:spacing w:before="60" w:after="200"/>
        <w:jc w:val="center"/>
      </w:pPr>
      <w:r>
        <w:rPr>
          <w:rFonts w:ascii="宋体" w:hAnsi="宋体" w:eastAsia="宋体"/>
          <w:b w:val="0"/>
          <w:color w:val="555555"/>
          <w:sz w:val="21"/>
        </w:rPr>
        <w:t>表 5  软件环境与依赖组件</w:t>
      </w:r>
    </w:p>
    <w:p>
      <w:pPr>
        <w:spacing w:after="120" w:before="0" w:line="360" w:lineRule="auto"/>
        <w:ind w:firstLine="480"/>
      </w:pPr>
      <w:r>
        <w:rPr>
          <w:rFonts w:ascii="宋体" w:hAnsi="宋体" w:eastAsia="宋体"/>
          <w:b w:val="0"/>
          <w:sz w:val="24"/>
        </w:rPr>
        <w:t>说明：表中标注“可降级”的组件均为可选。平台在未配置这些组件时会自动回落到内存或本地实现，因此单机环境下无需安装任何中间件即可完整跑通“接入 → 战役 → 判定 → 评分 → 报告”全流程，便于评审与教学环境快速部署。</w:t>
      </w:r>
    </w:p>
    <w:p>
      <w:pPr>
        <w:pStyle w:val="Heading2"/>
        <w:spacing w:line="336" w:lineRule="auto" w:before="200" w:after="120"/>
      </w:pPr>
      <w:r>
        <w:rPr>
          <w:rFonts w:ascii="黑体" w:hAnsi="黑体" w:eastAsia="黑体"/>
          <w:b/>
          <w:color w:val="222222"/>
          <w:sz w:val="27"/>
        </w:rPr>
        <w:t>（三）开发工具</w:t>
      </w:r>
    </w:p>
    <w:tbl>
      <w:tblPr>
        <w:tblStyle w:val="TableGrid"/>
        <w:tblW w:type="auto" w:w="0"/>
        <w:jc w:val="center"/>
        <w:tblLook w:firstColumn="1" w:firstRow="1" w:lastColumn="0" w:lastRow="0" w:noHBand="0" w:noVBand="1" w:val="04A0"/>
      </w:tblPr>
      <w:tblGrid>
        <w:gridCol w:w="4422"/>
        <w:gridCol w:w="4422"/>
      </w:tblGrid>
      <w:tr>
        <w:tc>
          <w:tcPr>
            <w:tcW w:type="dxa" w:w="2476"/>
            <w:shd w:val="clear" w:color="auto" w:fill="DDE5F5"/>
          </w:tcPr>
          <w:p>
            <w:pPr>
              <w:spacing w:before="40" w:after="40" w:line="276" w:lineRule="auto"/>
              <w:jc w:val="center"/>
            </w:pPr>
            <w:r>
              <w:rPr>
                <w:rFonts w:ascii="黑体" w:hAnsi="黑体" w:eastAsia="黑体"/>
                <w:b/>
                <w:sz w:val="21"/>
              </w:rPr>
              <w:t>工具</w:t>
            </w:r>
          </w:p>
        </w:tc>
        <w:tc>
          <w:tcPr>
            <w:tcW w:type="dxa" w:w="6368"/>
            <w:shd w:val="clear" w:color="auto" w:fill="DDE5F5"/>
          </w:tcPr>
          <w:p>
            <w:pPr>
              <w:spacing w:before="40" w:after="40" w:line="276" w:lineRule="auto"/>
              <w:jc w:val="center"/>
            </w:pPr>
            <w:r>
              <w:rPr>
                <w:rFonts w:ascii="黑体" w:hAnsi="黑体" w:eastAsia="黑体"/>
                <w:b/>
                <w:sz w:val="21"/>
              </w:rPr>
              <w:t>用途</w:t>
            </w:r>
          </w:p>
        </w:tc>
      </w:tr>
      <w:tr>
        <w:tc>
          <w:tcPr>
            <w:tcW w:type="dxa" w:w="2476"/>
          </w:tcPr>
          <w:p>
            <w:pPr>
              <w:spacing w:before="40" w:after="40" w:line="276" w:lineRule="auto"/>
            </w:pPr>
            <w:r>
              <w:rPr>
                <w:rFonts w:ascii="宋体" w:hAnsi="宋体" w:eastAsia="宋体"/>
                <w:b w:val="0"/>
                <w:sz w:val="21"/>
              </w:rPr>
              <w:t>Visual Studio Code</w:t>
            </w:r>
          </w:p>
        </w:tc>
        <w:tc>
          <w:tcPr>
            <w:tcW w:type="dxa" w:w="6368"/>
          </w:tcPr>
          <w:p>
            <w:pPr>
              <w:spacing w:before="40" w:after="40" w:line="276" w:lineRule="auto"/>
            </w:pPr>
            <w:r>
              <w:rPr>
                <w:rFonts w:ascii="宋体" w:hAnsi="宋体" w:eastAsia="宋体"/>
                <w:b w:val="0"/>
                <w:sz w:val="21"/>
              </w:rPr>
              <w:t>主力代码编辑器，配合 Python / ESLint / Prettier 插件</w:t>
            </w:r>
          </w:p>
        </w:tc>
      </w:tr>
      <w:tr>
        <w:tc>
          <w:tcPr>
            <w:tcW w:type="dxa" w:w="2476"/>
          </w:tcPr>
          <w:p>
            <w:pPr>
              <w:spacing w:before="40" w:after="40" w:line="276" w:lineRule="auto"/>
              <w:jc w:val="center"/>
            </w:pPr>
            <w:r>
              <w:rPr>
                <w:rFonts w:ascii="宋体" w:hAnsi="宋体" w:eastAsia="宋体"/>
                <w:b w:val="0"/>
                <w:sz w:val="21"/>
              </w:rPr>
              <w:t>Git</w:t>
            </w:r>
          </w:p>
        </w:tc>
        <w:tc>
          <w:tcPr>
            <w:tcW w:type="dxa" w:w="6368"/>
          </w:tcPr>
          <w:p>
            <w:pPr>
              <w:spacing w:before="40" w:after="40" w:line="276" w:lineRule="auto"/>
            </w:pPr>
            <w:r>
              <w:rPr>
                <w:rFonts w:ascii="宋体" w:hAnsi="宋体" w:eastAsia="宋体"/>
                <w:b w:val="0"/>
                <w:sz w:val="21"/>
              </w:rPr>
              <w:t>版本控制，按模块分支开发并合并</w:t>
            </w:r>
          </w:p>
        </w:tc>
      </w:tr>
      <w:tr>
        <w:tc>
          <w:tcPr>
            <w:tcW w:type="dxa" w:w="2476"/>
          </w:tcPr>
          <w:p>
            <w:pPr>
              <w:spacing w:before="40" w:after="40" w:line="276" w:lineRule="auto"/>
              <w:jc w:val="center"/>
            </w:pPr>
            <w:r>
              <w:rPr>
                <w:rFonts w:ascii="宋体" w:hAnsi="宋体" w:eastAsia="宋体"/>
                <w:b w:val="0"/>
                <w:sz w:val="21"/>
              </w:rPr>
              <w:t>pytest</w:t>
            </w:r>
          </w:p>
        </w:tc>
        <w:tc>
          <w:tcPr>
            <w:tcW w:type="dxa" w:w="6368"/>
          </w:tcPr>
          <w:p>
            <w:pPr>
              <w:spacing w:before="40" w:after="40" w:line="276" w:lineRule="auto"/>
            </w:pPr>
            <w:r>
              <w:rPr>
                <w:rFonts w:ascii="宋体" w:hAnsi="宋体" w:eastAsia="宋体"/>
                <w:b w:val="0"/>
                <w:sz w:val="21"/>
              </w:rPr>
              <w:t>后端单元测试与集成测试</w:t>
            </w:r>
          </w:p>
        </w:tc>
      </w:tr>
      <w:tr>
        <w:tc>
          <w:tcPr>
            <w:tcW w:type="dxa" w:w="2476"/>
          </w:tcPr>
          <w:p>
            <w:pPr>
              <w:spacing w:before="40" w:after="40" w:line="276" w:lineRule="auto"/>
              <w:jc w:val="center"/>
            </w:pPr>
            <w:r>
              <w:rPr>
                <w:rFonts w:ascii="宋体" w:hAnsi="宋体" w:eastAsia="宋体"/>
                <w:b w:val="0"/>
                <w:sz w:val="21"/>
              </w:rPr>
              <w:t>Vitest</w:t>
            </w:r>
          </w:p>
        </w:tc>
        <w:tc>
          <w:tcPr>
            <w:tcW w:type="dxa" w:w="6368"/>
          </w:tcPr>
          <w:p>
            <w:pPr>
              <w:spacing w:before="40" w:after="40" w:line="276" w:lineRule="auto"/>
            </w:pPr>
            <w:r>
              <w:rPr>
                <w:rFonts w:ascii="宋体" w:hAnsi="宋体" w:eastAsia="宋体"/>
                <w:b w:val="0"/>
                <w:sz w:val="21"/>
              </w:rPr>
              <w:t>前端单元测试</w:t>
            </w:r>
          </w:p>
        </w:tc>
      </w:tr>
      <w:tr>
        <w:tc>
          <w:tcPr>
            <w:tcW w:type="dxa" w:w="2476"/>
          </w:tcPr>
          <w:p>
            <w:pPr>
              <w:spacing w:before="40" w:after="40" w:line="276" w:lineRule="auto"/>
              <w:jc w:val="center"/>
            </w:pPr>
            <w:r>
              <w:rPr>
                <w:rFonts w:ascii="宋体" w:hAnsi="宋体" w:eastAsia="宋体"/>
                <w:b w:val="0"/>
                <w:sz w:val="21"/>
              </w:rPr>
              <w:t>Playwright</w:t>
            </w:r>
          </w:p>
        </w:tc>
        <w:tc>
          <w:tcPr>
            <w:tcW w:type="dxa" w:w="6368"/>
          </w:tcPr>
          <w:p>
            <w:pPr>
              <w:spacing w:before="40" w:after="40" w:line="276" w:lineRule="auto"/>
            </w:pPr>
            <w:r>
              <w:rPr>
                <w:rFonts w:ascii="宋体" w:hAnsi="宋体" w:eastAsia="宋体"/>
                <w:b w:val="0"/>
                <w:sz w:val="21"/>
              </w:rPr>
              <w:t>端到端流程验证与截图回归</w:t>
            </w:r>
          </w:p>
        </w:tc>
      </w:tr>
      <w:tr>
        <w:tc>
          <w:tcPr>
            <w:tcW w:type="dxa" w:w="2476"/>
          </w:tcPr>
          <w:p>
            <w:pPr>
              <w:spacing w:before="40" w:after="40" w:line="276" w:lineRule="auto"/>
              <w:jc w:val="center"/>
            </w:pPr>
            <w:r>
              <w:rPr>
                <w:rFonts w:ascii="宋体" w:hAnsi="宋体" w:eastAsia="宋体"/>
                <w:b w:val="0"/>
                <w:sz w:val="21"/>
              </w:rPr>
              <w:t>Storybook</w:t>
            </w:r>
          </w:p>
        </w:tc>
        <w:tc>
          <w:tcPr>
            <w:tcW w:type="dxa" w:w="6368"/>
          </w:tcPr>
          <w:p>
            <w:pPr>
              <w:spacing w:before="40" w:after="40" w:line="276" w:lineRule="auto"/>
            </w:pPr>
            <w:r>
              <w:rPr>
                <w:rFonts w:ascii="宋体" w:hAnsi="宋体" w:eastAsia="宋体"/>
                <w:b w:val="0"/>
                <w:sz w:val="21"/>
              </w:rPr>
              <w:t>组件库独立开发与视觉走查</w:t>
            </w:r>
          </w:p>
        </w:tc>
      </w:tr>
      <w:tr>
        <w:tc>
          <w:tcPr>
            <w:tcW w:type="dxa" w:w="2476"/>
          </w:tcPr>
          <w:p>
            <w:pPr>
              <w:spacing w:before="40" w:after="40" w:line="276" w:lineRule="auto"/>
              <w:jc w:val="center"/>
            </w:pPr>
            <w:r>
              <w:rPr>
                <w:rFonts w:ascii="宋体" w:hAnsi="宋体" w:eastAsia="宋体"/>
                <w:b w:val="0"/>
                <w:sz w:val="21"/>
              </w:rPr>
              <w:t>Ruff / Black</w:t>
            </w:r>
          </w:p>
        </w:tc>
        <w:tc>
          <w:tcPr>
            <w:tcW w:type="dxa" w:w="6368"/>
          </w:tcPr>
          <w:p>
            <w:pPr>
              <w:spacing w:before="40" w:after="40" w:line="276" w:lineRule="auto"/>
            </w:pPr>
            <w:r>
              <w:rPr>
                <w:rFonts w:ascii="宋体" w:hAnsi="宋体" w:eastAsia="宋体"/>
                <w:b w:val="0"/>
                <w:sz w:val="21"/>
              </w:rPr>
              <w:t>Python 代码静态检查与格式化</w:t>
            </w:r>
          </w:p>
        </w:tc>
      </w:tr>
      <w:tr>
        <w:tc>
          <w:tcPr>
            <w:tcW w:type="dxa" w:w="2476"/>
          </w:tcPr>
          <w:p>
            <w:pPr>
              <w:spacing w:before="40" w:after="40" w:line="276" w:lineRule="auto"/>
            </w:pPr>
            <w:r>
              <w:rPr>
                <w:rFonts w:ascii="宋体" w:hAnsi="宋体" w:eastAsia="宋体"/>
                <w:b w:val="0"/>
                <w:sz w:val="21"/>
              </w:rPr>
              <w:t>TypeScript / tsc</w:t>
            </w:r>
          </w:p>
        </w:tc>
        <w:tc>
          <w:tcPr>
            <w:tcW w:type="dxa" w:w="6368"/>
          </w:tcPr>
          <w:p>
            <w:pPr>
              <w:spacing w:before="40" w:after="40" w:line="276" w:lineRule="auto"/>
            </w:pPr>
            <w:r>
              <w:rPr>
                <w:rFonts w:ascii="宋体" w:hAnsi="宋体" w:eastAsia="宋体"/>
                <w:b w:val="0"/>
                <w:sz w:val="21"/>
              </w:rPr>
              <w:t>前端类型检查</w:t>
            </w:r>
          </w:p>
        </w:tc>
      </w:tr>
      <w:tr>
        <w:tc>
          <w:tcPr>
            <w:tcW w:type="dxa" w:w="2476"/>
          </w:tcPr>
          <w:p>
            <w:pPr>
              <w:spacing w:before="40" w:after="40" w:line="276" w:lineRule="auto"/>
            </w:pPr>
            <w:r>
              <w:rPr>
                <w:rFonts w:ascii="宋体" w:hAnsi="宋体" w:eastAsia="宋体"/>
                <w:b w:val="0"/>
                <w:sz w:val="21"/>
              </w:rPr>
              <w:t>Docker Compose</w:t>
            </w:r>
          </w:p>
        </w:tc>
        <w:tc>
          <w:tcPr>
            <w:tcW w:type="dxa" w:w="6368"/>
          </w:tcPr>
          <w:p>
            <w:pPr>
              <w:spacing w:before="40" w:after="40" w:line="276" w:lineRule="auto"/>
            </w:pPr>
            <w:r>
              <w:rPr>
                <w:rFonts w:ascii="宋体" w:hAnsi="宋体" w:eastAsia="宋体"/>
                <w:b w:val="0"/>
                <w:sz w:val="21"/>
              </w:rPr>
              <w:t>本地中间件与沙箱环境编排</w:t>
            </w:r>
          </w:p>
        </w:tc>
      </w:tr>
      <w:tr>
        <w:tc>
          <w:tcPr>
            <w:tcW w:type="dxa" w:w="2476"/>
          </w:tcPr>
          <w:p>
            <w:pPr>
              <w:spacing w:before="40" w:after="40" w:line="276" w:lineRule="auto"/>
              <w:jc w:val="center"/>
            </w:pPr>
            <w:r>
              <w:rPr>
                <w:rFonts w:ascii="宋体" w:hAnsi="宋体" w:eastAsia="宋体"/>
                <w:b w:val="0"/>
                <w:sz w:val="21"/>
              </w:rPr>
              <w:t>Python 脚本入口</w:t>
            </w:r>
          </w:p>
        </w:tc>
        <w:tc>
          <w:tcPr>
            <w:tcW w:type="dxa" w:w="6368"/>
          </w:tcPr>
          <w:p>
            <w:pPr>
              <w:spacing w:before="40" w:after="40" w:line="276" w:lineRule="auto"/>
            </w:pPr>
            <w:r>
              <w:rPr>
                <w:rFonts w:ascii="宋体" w:hAnsi="宋体" w:eastAsia="宋体"/>
                <w:b w:val="0"/>
                <w:sz w:val="21"/>
              </w:rPr>
              <w:t>统一的跨平台工程入口脚本，覆盖测试、种子导入、服务启动、契约导出与门禁执行</w:t>
            </w:r>
          </w:p>
        </w:tc>
      </w:tr>
    </w:tbl>
    <w:p>
      <w:pPr>
        <w:spacing w:before="60" w:after="200"/>
        <w:jc w:val="center"/>
      </w:pPr>
      <w:r>
        <w:rPr>
          <w:rFonts w:ascii="宋体" w:hAnsi="宋体" w:eastAsia="宋体"/>
          <w:b w:val="0"/>
          <w:color w:val="555555"/>
          <w:sz w:val="21"/>
        </w:rPr>
        <w:t>表 6  开发工具</w:t>
      </w:r>
    </w:p>
    <w:p>
      <w:pPr>
        <w:pStyle w:val="Heading2"/>
        <w:spacing w:line="336" w:lineRule="auto" w:before="200" w:after="120"/>
      </w:pPr>
      <w:r>
        <w:rPr>
          <w:rFonts w:ascii="黑体" w:hAnsi="黑体" w:eastAsia="黑体"/>
          <w:b/>
          <w:color w:val="222222"/>
          <w:sz w:val="27"/>
        </w:rPr>
        <w:t>（四）人工智能（AI）工具使用情况</w:t>
      </w:r>
    </w:p>
    <w:p>
      <w:pPr>
        <w:spacing w:after="120" w:before="0" w:line="360" w:lineRule="auto"/>
        <w:ind w:firstLine="480"/>
      </w:pPr>
      <w:r>
        <w:rPr>
          <w:rFonts w:ascii="宋体" w:hAnsi="宋体" w:eastAsia="宋体"/>
          <w:b w:val="0"/>
          <w:sz w:val="24"/>
        </w:rPr>
        <w:t>本作品在开发过程中使用了 AI 编程辅助工具，具体如下：</w:t>
      </w:r>
    </w:p>
    <w:tbl>
      <w:tblPr>
        <w:tblStyle w:val="TableGrid"/>
        <w:tblW w:type="auto" w:w="0"/>
        <w:jc w:val="center"/>
        <w:tblLook w:firstColumn="1" w:firstRow="1" w:lastColumn="0" w:lastRow="0" w:noHBand="0" w:noVBand="1" w:val="04A0"/>
      </w:tblPr>
      <w:tblGrid>
        <w:gridCol w:w="2948"/>
        <w:gridCol w:w="2948"/>
        <w:gridCol w:w="2948"/>
      </w:tblGrid>
      <w:tr>
        <w:tc>
          <w:tcPr>
            <w:tcW w:type="dxa" w:w="1769"/>
            <w:shd w:val="clear" w:color="auto" w:fill="DDE5F5"/>
          </w:tcPr>
          <w:p>
            <w:pPr>
              <w:spacing w:before="40" w:after="40" w:line="276" w:lineRule="auto"/>
              <w:jc w:val="center"/>
            </w:pPr>
            <w:r>
              <w:rPr>
                <w:rFonts w:ascii="黑体" w:hAnsi="黑体" w:eastAsia="黑体"/>
                <w:b/>
                <w:sz w:val="21"/>
              </w:rPr>
              <w:t>AI 工具</w:t>
            </w:r>
          </w:p>
        </w:tc>
        <w:tc>
          <w:tcPr>
            <w:tcW w:type="dxa" w:w="4068"/>
            <w:shd w:val="clear" w:color="auto" w:fill="DDE5F5"/>
          </w:tcPr>
          <w:p>
            <w:pPr>
              <w:spacing w:before="40" w:after="40" w:line="276" w:lineRule="auto"/>
              <w:jc w:val="center"/>
            </w:pPr>
            <w:r>
              <w:rPr>
                <w:rFonts w:ascii="黑体" w:hAnsi="黑体" w:eastAsia="黑体"/>
                <w:b/>
                <w:sz w:val="21"/>
              </w:rPr>
              <w:t>使用方式</w:t>
            </w:r>
          </w:p>
        </w:tc>
        <w:tc>
          <w:tcPr>
            <w:tcW w:type="dxa" w:w="3007"/>
            <w:shd w:val="clear" w:color="auto" w:fill="DDE5F5"/>
          </w:tcPr>
          <w:p>
            <w:pPr>
              <w:spacing w:before="40" w:after="40" w:line="276" w:lineRule="auto"/>
              <w:jc w:val="center"/>
            </w:pPr>
            <w:r>
              <w:rPr>
                <w:rFonts w:ascii="黑体" w:hAnsi="黑体" w:eastAsia="黑体"/>
                <w:b/>
                <w:sz w:val="21"/>
              </w:rPr>
              <w:t>使用范围</w:t>
            </w:r>
          </w:p>
        </w:tc>
      </w:tr>
      <w:tr>
        <w:tc>
          <w:tcPr>
            <w:tcW w:type="dxa" w:w="1769"/>
          </w:tcPr>
          <w:p>
            <w:pPr>
              <w:spacing w:before="40" w:after="40" w:line="276" w:lineRule="auto"/>
            </w:pPr>
            <w:r>
              <w:rPr>
                <w:rFonts w:ascii="宋体" w:hAnsi="宋体" w:eastAsia="宋体"/>
                <w:b w:val="0"/>
                <w:sz w:val="21"/>
              </w:rPr>
              <w:t>Claude Code / Codex 类 AI 编程助手</w:t>
            </w:r>
          </w:p>
        </w:tc>
        <w:tc>
          <w:tcPr>
            <w:tcW w:type="dxa" w:w="4068"/>
          </w:tcPr>
          <w:p>
            <w:pPr>
              <w:spacing w:before="40" w:after="40" w:line="276" w:lineRule="auto"/>
            </w:pPr>
            <w:r>
              <w:rPr>
                <w:rFonts w:ascii="宋体" w:hAnsi="宋体" w:eastAsia="宋体"/>
                <w:b w:val="0"/>
                <w:sz w:val="21"/>
              </w:rPr>
              <w:t>以对话方式辅助生成代码骨架、编写单元测试、重构重复逻辑、排查运行报错、撰写文档与注释</w:t>
            </w:r>
          </w:p>
        </w:tc>
        <w:tc>
          <w:tcPr>
            <w:tcW w:type="dxa" w:w="3007"/>
          </w:tcPr>
          <w:p>
            <w:pPr>
              <w:spacing w:before="40" w:after="40" w:line="276" w:lineRule="auto"/>
            </w:pPr>
            <w:r>
              <w:rPr>
                <w:rFonts w:ascii="宋体" w:hAnsi="宋体" w:eastAsia="宋体"/>
                <w:b w:val="0"/>
                <w:sz w:val="21"/>
              </w:rPr>
              <w:t>作为开发提效工具贯穿全程；所有生成结果均经小组成员人工审阅、修改与测试验证后才并入代码库</w:t>
            </w:r>
          </w:p>
        </w:tc>
      </w:tr>
      <w:tr>
        <w:tc>
          <w:tcPr>
            <w:tcW w:type="dxa" w:w="1769"/>
          </w:tcPr>
          <w:p>
            <w:pPr>
              <w:spacing w:before="40" w:after="40" w:line="276" w:lineRule="auto"/>
              <w:jc w:val="center"/>
            </w:pPr>
            <w:r>
              <w:rPr>
                <w:rFonts w:ascii="宋体" w:hAnsi="宋体" w:eastAsia="宋体"/>
                <w:b w:val="0"/>
                <w:sz w:val="21"/>
              </w:rPr>
              <w:t>大语言模型（LLM）服务</w:t>
            </w:r>
          </w:p>
        </w:tc>
        <w:tc>
          <w:tcPr>
            <w:tcW w:type="dxa" w:w="4068"/>
          </w:tcPr>
          <w:p>
            <w:pPr>
              <w:spacing w:before="40" w:after="40" w:line="276" w:lineRule="auto"/>
            </w:pPr>
            <w:r>
              <w:rPr>
                <w:rFonts w:ascii="宋体" w:hAnsi="宋体" w:eastAsia="宋体"/>
                <w:b w:val="0"/>
                <w:sz w:val="21"/>
              </w:rPr>
              <w:t>平台运行期作为“被评测目标”与“判定角色”使用，通过统一的网关接入并支持多角色路由</w:t>
            </w:r>
          </w:p>
        </w:tc>
        <w:tc>
          <w:tcPr>
            <w:tcW w:type="dxa" w:w="3007"/>
          </w:tcPr>
          <w:p>
            <w:pPr>
              <w:spacing w:before="40" w:after="40" w:line="276" w:lineRule="auto"/>
            </w:pPr>
            <w:r>
              <w:rPr>
                <w:rFonts w:ascii="宋体" w:hAnsi="宋体" w:eastAsia="宋体"/>
                <w:b w:val="0"/>
                <w:sz w:val="21"/>
              </w:rPr>
              <w:t>属于被评测对象与系统组件，不参与本作品的代码生成</w:t>
            </w:r>
          </w:p>
        </w:tc>
      </w:tr>
    </w:tbl>
    <w:p>
      <w:pPr>
        <w:spacing w:before="60" w:after="200"/>
        <w:jc w:val="center"/>
      </w:pPr>
      <w:r>
        <w:rPr>
          <w:rFonts w:ascii="宋体" w:hAnsi="宋体" w:eastAsia="宋体"/>
          <w:b w:val="0"/>
          <w:color w:val="555555"/>
          <w:sz w:val="21"/>
        </w:rPr>
        <w:t>表 7  AI 工具使用情况</w:t>
      </w:r>
    </w:p>
    <w:p>
      <w:pPr>
        <w:spacing w:after="120" w:before="0" w:line="360" w:lineRule="auto"/>
        <w:ind w:firstLine="480"/>
      </w:pPr>
      <w:r>
        <w:rPr>
          <w:rFonts w:ascii="宋体" w:hAnsi="宋体" w:eastAsia="宋体"/>
          <w:b w:val="0"/>
          <w:sz w:val="24"/>
        </w:rPr>
        <w:t>关于 AI 工具使用的说明：小组严格遵守各赛事的原创性要求，AI 工具仅作为编写效率的辅助手段。平台的架构设计、攻击矩阵分类、三级裁判流水线、评分模型、修复手册与全部内容资产，均由小组成员基于调研与讨论自主设计；对 AI 生成的每一段代码，小组均执行了单元测试与人工复核，确保其正确性与可维护性，并对最终代码质量负责。作品的核心创意与业务逻辑不存在抄袭。</w:t>
      </w:r>
    </w:p>
    <w:p>
      <w:pPr>
        <w:pStyle w:val="Heading2"/>
        <w:spacing w:line="336" w:lineRule="auto" w:before="200" w:after="120"/>
      </w:pPr>
      <w:r>
        <w:rPr>
          <w:rFonts w:ascii="黑体" w:hAnsi="黑体" w:eastAsia="黑体"/>
          <w:b/>
          <w:color w:val="222222"/>
          <w:sz w:val="27"/>
        </w:rPr>
        <w:t>（五）开源代码来源与许可</w:t>
      </w:r>
    </w:p>
    <w:p>
      <w:pPr>
        <w:spacing w:after="120" w:before="0" w:line="360" w:lineRule="auto"/>
        <w:ind w:firstLine="480"/>
      </w:pPr>
      <w:r>
        <w:rPr>
          <w:rFonts w:ascii="宋体" w:hAnsi="宋体" w:eastAsia="宋体"/>
          <w:b w:val="0"/>
          <w:sz w:val="24"/>
        </w:rPr>
        <w:t>本作品基于开源生态构建，所使用的开源组件及其许可协议如下表所示。小组严格遵循各开源协议的署名与许可要求，未使用任何闭源商业组件。</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3184"/>
            <w:shd w:val="clear" w:color="auto" w:fill="DDE5F5"/>
          </w:tcPr>
          <w:p>
            <w:pPr>
              <w:spacing w:before="40" w:after="40" w:line="276" w:lineRule="auto"/>
              <w:jc w:val="center"/>
            </w:pPr>
            <w:r>
              <w:rPr>
                <w:rFonts w:ascii="黑体" w:hAnsi="黑体" w:eastAsia="黑体"/>
                <w:b/>
                <w:sz w:val="21"/>
              </w:rPr>
              <w:t>组件</w:t>
            </w:r>
          </w:p>
        </w:tc>
        <w:tc>
          <w:tcPr>
            <w:tcW w:type="dxa" w:w="1150"/>
            <w:shd w:val="clear" w:color="auto" w:fill="DDE5F5"/>
          </w:tcPr>
          <w:p>
            <w:pPr>
              <w:spacing w:before="40" w:after="40" w:line="276" w:lineRule="auto"/>
              <w:jc w:val="center"/>
            </w:pPr>
            <w:r>
              <w:rPr>
                <w:rFonts w:ascii="黑体" w:hAnsi="黑体" w:eastAsia="黑体"/>
                <w:b/>
                <w:sz w:val="21"/>
              </w:rPr>
              <w:t>版本</w:t>
            </w:r>
          </w:p>
        </w:tc>
        <w:tc>
          <w:tcPr>
            <w:tcW w:type="dxa" w:w="1946"/>
            <w:shd w:val="clear" w:color="auto" w:fill="DDE5F5"/>
          </w:tcPr>
          <w:p>
            <w:pPr>
              <w:spacing w:before="40" w:after="40" w:line="276" w:lineRule="auto"/>
              <w:jc w:val="center"/>
            </w:pPr>
            <w:r>
              <w:rPr>
                <w:rFonts w:ascii="黑体" w:hAnsi="黑体" w:eastAsia="黑体"/>
                <w:b/>
                <w:sz w:val="21"/>
              </w:rPr>
              <w:t>许可协议</w:t>
            </w:r>
          </w:p>
        </w:tc>
        <w:tc>
          <w:tcPr>
            <w:tcW w:type="dxa" w:w="2565"/>
            <w:shd w:val="clear" w:color="auto" w:fill="DDE5F5"/>
          </w:tcPr>
          <w:p>
            <w:pPr>
              <w:spacing w:before="40" w:after="40" w:line="276" w:lineRule="auto"/>
              <w:jc w:val="center"/>
            </w:pPr>
            <w:r>
              <w:rPr>
                <w:rFonts w:ascii="黑体" w:hAnsi="黑体" w:eastAsia="黑体"/>
                <w:b/>
                <w:sz w:val="21"/>
              </w:rPr>
              <w:t>用途</w:t>
            </w:r>
          </w:p>
        </w:tc>
      </w:tr>
      <w:tr>
        <w:tc>
          <w:tcPr>
            <w:tcW w:type="dxa" w:w="3184"/>
          </w:tcPr>
          <w:p>
            <w:pPr>
              <w:spacing w:before="40" w:after="40" w:line="276" w:lineRule="auto"/>
            </w:pPr>
            <w:r>
              <w:rPr>
                <w:rFonts w:ascii="宋体" w:hAnsi="宋体" w:eastAsia="宋体"/>
                <w:b w:val="0"/>
                <w:sz w:val="21"/>
              </w:rPr>
              <w:t>FastAPI</w:t>
            </w:r>
          </w:p>
        </w:tc>
        <w:tc>
          <w:tcPr>
            <w:tcW w:type="dxa" w:w="1150"/>
          </w:tcPr>
          <w:p>
            <w:pPr>
              <w:spacing w:before="40" w:after="40" w:line="276" w:lineRule="auto"/>
            </w:pPr>
            <w:r>
              <w:rPr>
                <w:rFonts w:ascii="宋体" w:hAnsi="宋体" w:eastAsia="宋体"/>
                <w:b w:val="0"/>
                <w:sz w:val="21"/>
              </w:rPr>
              <w:t>0.115+</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后端 Web 框架与接口契约生成</w:t>
            </w:r>
          </w:p>
        </w:tc>
      </w:tr>
      <w:tr>
        <w:tc>
          <w:tcPr>
            <w:tcW w:type="dxa" w:w="3184"/>
          </w:tcPr>
          <w:p>
            <w:pPr>
              <w:spacing w:before="40" w:after="40" w:line="276" w:lineRule="auto"/>
            </w:pPr>
            <w:r>
              <w:rPr>
                <w:rFonts w:ascii="宋体" w:hAnsi="宋体" w:eastAsia="宋体"/>
                <w:b w:val="0"/>
                <w:sz w:val="21"/>
              </w:rPr>
              <w:t>Uvicorn</w:t>
            </w:r>
          </w:p>
        </w:tc>
        <w:tc>
          <w:tcPr>
            <w:tcW w:type="dxa" w:w="1150"/>
          </w:tcPr>
          <w:p>
            <w:pPr>
              <w:spacing w:before="40" w:after="40" w:line="276" w:lineRule="auto"/>
            </w:pPr>
            <w:r>
              <w:rPr>
                <w:rFonts w:ascii="宋体" w:hAnsi="宋体" w:eastAsia="宋体"/>
                <w:b w:val="0"/>
                <w:sz w:val="21"/>
              </w:rPr>
              <w:t>0.32+</w:t>
            </w:r>
          </w:p>
        </w:tc>
        <w:tc>
          <w:tcPr>
            <w:tcW w:type="dxa" w:w="1946"/>
          </w:tcPr>
          <w:p>
            <w:pPr>
              <w:spacing w:before="40" w:after="40" w:line="276" w:lineRule="auto"/>
            </w:pPr>
            <w:r>
              <w:rPr>
                <w:rFonts w:ascii="宋体" w:hAnsi="宋体" w:eastAsia="宋体"/>
                <w:b w:val="0"/>
                <w:sz w:val="21"/>
              </w:rPr>
              <w:t>BSD-3-Clause</w:t>
            </w:r>
          </w:p>
        </w:tc>
        <w:tc>
          <w:tcPr>
            <w:tcW w:type="dxa" w:w="2565"/>
          </w:tcPr>
          <w:p>
            <w:pPr>
              <w:spacing w:before="40" w:after="40" w:line="276" w:lineRule="auto"/>
            </w:pPr>
            <w:r>
              <w:rPr>
                <w:rFonts w:ascii="宋体" w:hAnsi="宋体" w:eastAsia="宋体"/>
                <w:b w:val="0"/>
                <w:sz w:val="21"/>
              </w:rPr>
              <w:t>ASGI 服务器</w:t>
            </w:r>
          </w:p>
        </w:tc>
      </w:tr>
      <w:tr>
        <w:tc>
          <w:tcPr>
            <w:tcW w:type="dxa" w:w="3184"/>
          </w:tcPr>
          <w:p>
            <w:pPr>
              <w:spacing w:before="40" w:after="40" w:line="276" w:lineRule="auto"/>
            </w:pPr>
            <w:r>
              <w:rPr>
                <w:rFonts w:ascii="宋体" w:hAnsi="宋体" w:eastAsia="宋体"/>
                <w:b w:val="0"/>
                <w:sz w:val="21"/>
              </w:rPr>
              <w:t>Pydantic / pydantic-settings</w:t>
            </w:r>
          </w:p>
        </w:tc>
        <w:tc>
          <w:tcPr>
            <w:tcW w:type="dxa" w:w="1150"/>
          </w:tcPr>
          <w:p>
            <w:pPr>
              <w:spacing w:before="40" w:after="40" w:line="276" w:lineRule="auto"/>
            </w:pPr>
            <w:r>
              <w:rPr>
                <w:rFonts w:ascii="宋体" w:hAnsi="宋体" w:eastAsia="宋体"/>
                <w:b w:val="0"/>
                <w:sz w:val="21"/>
              </w:rPr>
              <w:t>2.9+</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数据校验与配置模型</w:t>
            </w:r>
          </w:p>
        </w:tc>
      </w:tr>
      <w:tr>
        <w:tc>
          <w:tcPr>
            <w:tcW w:type="dxa" w:w="3184"/>
          </w:tcPr>
          <w:p>
            <w:pPr>
              <w:spacing w:before="40" w:after="40" w:line="276" w:lineRule="auto"/>
            </w:pPr>
            <w:r>
              <w:rPr>
                <w:rFonts w:ascii="宋体" w:hAnsi="宋体" w:eastAsia="宋体"/>
                <w:b w:val="0"/>
                <w:sz w:val="21"/>
              </w:rPr>
              <w:t>SQLAlchemy</w:t>
            </w:r>
          </w:p>
        </w:tc>
        <w:tc>
          <w:tcPr>
            <w:tcW w:type="dxa" w:w="1150"/>
          </w:tcPr>
          <w:p>
            <w:pPr>
              <w:spacing w:before="40" w:after="40" w:line="276" w:lineRule="auto"/>
            </w:pPr>
            <w:r>
              <w:rPr>
                <w:rFonts w:ascii="宋体" w:hAnsi="宋体" w:eastAsia="宋体"/>
                <w:b w:val="0"/>
                <w:sz w:val="21"/>
              </w:rPr>
              <w:t>2.0.36+</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异步 ORM 与数据访问</w:t>
            </w:r>
          </w:p>
        </w:tc>
      </w:tr>
      <w:tr>
        <w:tc>
          <w:tcPr>
            <w:tcW w:type="dxa" w:w="3184"/>
          </w:tcPr>
          <w:p>
            <w:pPr>
              <w:spacing w:before="40" w:after="40" w:line="276" w:lineRule="auto"/>
            </w:pPr>
            <w:r>
              <w:rPr>
                <w:rFonts w:ascii="宋体" w:hAnsi="宋体" w:eastAsia="宋体"/>
                <w:b w:val="0"/>
                <w:sz w:val="21"/>
              </w:rPr>
              <w:t>Alembic</w:t>
            </w:r>
          </w:p>
        </w:tc>
        <w:tc>
          <w:tcPr>
            <w:tcW w:type="dxa" w:w="1150"/>
          </w:tcPr>
          <w:p>
            <w:pPr>
              <w:spacing w:before="40" w:after="40" w:line="276" w:lineRule="auto"/>
            </w:pPr>
            <w:r>
              <w:rPr>
                <w:rFonts w:ascii="宋体" w:hAnsi="宋体" w:eastAsia="宋体"/>
                <w:b w:val="0"/>
                <w:sz w:val="21"/>
              </w:rPr>
              <w:t>1.13+</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数据库迁移</w:t>
            </w:r>
          </w:p>
        </w:tc>
      </w:tr>
      <w:tr>
        <w:tc>
          <w:tcPr>
            <w:tcW w:type="dxa" w:w="3184"/>
          </w:tcPr>
          <w:p>
            <w:pPr>
              <w:spacing w:before="40" w:after="40" w:line="276" w:lineRule="auto"/>
            </w:pPr>
            <w:r>
              <w:rPr>
                <w:rFonts w:ascii="宋体" w:hAnsi="宋体" w:eastAsia="宋体"/>
                <w:b w:val="0"/>
                <w:sz w:val="21"/>
              </w:rPr>
              <w:t>Celery</w:t>
            </w:r>
          </w:p>
        </w:tc>
        <w:tc>
          <w:tcPr>
            <w:tcW w:type="dxa" w:w="1150"/>
          </w:tcPr>
          <w:p>
            <w:pPr>
              <w:spacing w:before="40" w:after="40" w:line="276" w:lineRule="auto"/>
            </w:pPr>
            <w:r>
              <w:rPr>
                <w:rFonts w:ascii="宋体" w:hAnsi="宋体" w:eastAsia="宋体"/>
                <w:b w:val="0"/>
                <w:sz w:val="21"/>
              </w:rPr>
              <w:t>5.4+</w:t>
            </w:r>
          </w:p>
        </w:tc>
        <w:tc>
          <w:tcPr>
            <w:tcW w:type="dxa" w:w="1946"/>
          </w:tcPr>
          <w:p>
            <w:pPr>
              <w:spacing w:before="40" w:after="40" w:line="276" w:lineRule="auto"/>
            </w:pPr>
            <w:r>
              <w:rPr>
                <w:rFonts w:ascii="宋体" w:hAnsi="宋体" w:eastAsia="宋体"/>
                <w:b w:val="0"/>
                <w:sz w:val="21"/>
              </w:rPr>
              <w:t>BSD-3-Clause</w:t>
            </w:r>
          </w:p>
        </w:tc>
        <w:tc>
          <w:tcPr>
            <w:tcW w:type="dxa" w:w="2565"/>
          </w:tcPr>
          <w:p>
            <w:pPr>
              <w:spacing w:before="40" w:after="40" w:line="276" w:lineRule="auto"/>
            </w:pPr>
            <w:r>
              <w:rPr>
                <w:rFonts w:ascii="宋体" w:hAnsi="宋体" w:eastAsia="宋体"/>
                <w:b w:val="0"/>
                <w:sz w:val="21"/>
              </w:rPr>
              <w:t>异步任务与定时调度</w:t>
            </w:r>
          </w:p>
        </w:tc>
      </w:tr>
      <w:tr>
        <w:tc>
          <w:tcPr>
            <w:tcW w:type="dxa" w:w="3184"/>
          </w:tcPr>
          <w:p>
            <w:pPr>
              <w:spacing w:before="40" w:after="40" w:line="276" w:lineRule="auto"/>
            </w:pPr>
            <w:r>
              <w:rPr>
                <w:rFonts w:ascii="宋体" w:hAnsi="宋体" w:eastAsia="宋体"/>
                <w:b w:val="0"/>
                <w:sz w:val="21"/>
              </w:rPr>
              <w:t>Redis (redis-py)</w:t>
            </w:r>
          </w:p>
        </w:tc>
        <w:tc>
          <w:tcPr>
            <w:tcW w:type="dxa" w:w="1150"/>
          </w:tcPr>
          <w:p>
            <w:pPr>
              <w:spacing w:before="40" w:after="40" w:line="276" w:lineRule="auto"/>
            </w:pPr>
            <w:r>
              <w:rPr>
                <w:rFonts w:ascii="宋体" w:hAnsi="宋体" w:eastAsia="宋体"/>
                <w:b w:val="0"/>
                <w:sz w:val="21"/>
              </w:rPr>
              <w:t>5.1+</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限流、熔断与事件总线客户端</w:t>
            </w:r>
          </w:p>
        </w:tc>
      </w:tr>
      <w:tr>
        <w:tc>
          <w:tcPr>
            <w:tcW w:type="dxa" w:w="3184"/>
          </w:tcPr>
          <w:p>
            <w:pPr>
              <w:spacing w:before="40" w:after="40" w:line="276" w:lineRule="auto"/>
            </w:pPr>
            <w:r>
              <w:rPr>
                <w:rFonts w:ascii="宋体" w:hAnsi="宋体" w:eastAsia="宋体"/>
                <w:b w:val="0"/>
                <w:sz w:val="21"/>
              </w:rPr>
              <w:t>clickhouse-connect</w:t>
            </w:r>
          </w:p>
        </w:tc>
        <w:tc>
          <w:tcPr>
            <w:tcW w:type="dxa" w:w="1150"/>
          </w:tcPr>
          <w:p>
            <w:pPr>
              <w:spacing w:before="40" w:after="40" w:line="276" w:lineRule="auto"/>
            </w:pPr>
            <w:r>
              <w:rPr>
                <w:rFonts w:ascii="宋体" w:hAnsi="宋体" w:eastAsia="宋体"/>
                <w:b w:val="0"/>
                <w:sz w:val="21"/>
              </w:rPr>
              <w:t>0.8+</w:t>
            </w:r>
          </w:p>
        </w:tc>
        <w:tc>
          <w:tcPr>
            <w:tcW w:type="dxa" w:w="1946"/>
          </w:tcPr>
          <w:p>
            <w:pPr>
              <w:spacing w:before="40" w:after="40" w:line="276" w:lineRule="auto"/>
            </w:pPr>
            <w:r>
              <w:rPr>
                <w:rFonts w:ascii="宋体" w:hAnsi="宋体" w:eastAsia="宋体"/>
                <w:b w:val="0"/>
                <w:sz w:val="21"/>
              </w:rPr>
              <w:t>Apache-2.0</w:t>
            </w:r>
          </w:p>
        </w:tc>
        <w:tc>
          <w:tcPr>
            <w:tcW w:type="dxa" w:w="2565"/>
          </w:tcPr>
          <w:p>
            <w:pPr>
              <w:spacing w:before="40" w:after="40" w:line="276" w:lineRule="auto"/>
            </w:pPr>
            <w:r>
              <w:rPr>
                <w:rFonts w:ascii="宋体" w:hAnsi="宋体" w:eastAsia="宋体"/>
                <w:b w:val="0"/>
                <w:sz w:val="21"/>
              </w:rPr>
              <w:t>分析库客户端</w:t>
            </w:r>
          </w:p>
        </w:tc>
      </w:tr>
      <w:tr>
        <w:tc>
          <w:tcPr>
            <w:tcW w:type="dxa" w:w="3184"/>
          </w:tcPr>
          <w:p>
            <w:pPr>
              <w:spacing w:before="40" w:after="40" w:line="276" w:lineRule="auto"/>
            </w:pPr>
            <w:r>
              <w:rPr>
                <w:rFonts w:ascii="宋体" w:hAnsi="宋体" w:eastAsia="宋体"/>
                <w:b w:val="0"/>
                <w:sz w:val="21"/>
              </w:rPr>
              <w:t>qdrant-client</w:t>
            </w:r>
          </w:p>
        </w:tc>
        <w:tc>
          <w:tcPr>
            <w:tcW w:type="dxa" w:w="1150"/>
          </w:tcPr>
          <w:p>
            <w:pPr>
              <w:spacing w:before="40" w:after="40" w:line="276" w:lineRule="auto"/>
            </w:pPr>
            <w:r>
              <w:rPr>
                <w:rFonts w:ascii="宋体" w:hAnsi="宋体" w:eastAsia="宋体"/>
                <w:b w:val="0"/>
                <w:sz w:val="21"/>
              </w:rPr>
              <w:t>1.12+</w:t>
            </w:r>
          </w:p>
        </w:tc>
        <w:tc>
          <w:tcPr>
            <w:tcW w:type="dxa" w:w="1946"/>
          </w:tcPr>
          <w:p>
            <w:pPr>
              <w:spacing w:before="40" w:after="40" w:line="276" w:lineRule="auto"/>
            </w:pPr>
            <w:r>
              <w:rPr>
                <w:rFonts w:ascii="宋体" w:hAnsi="宋体" w:eastAsia="宋体"/>
                <w:b w:val="0"/>
                <w:sz w:val="21"/>
              </w:rPr>
              <w:t>Apache-2.0</w:t>
            </w:r>
          </w:p>
        </w:tc>
        <w:tc>
          <w:tcPr>
            <w:tcW w:type="dxa" w:w="2565"/>
          </w:tcPr>
          <w:p>
            <w:pPr>
              <w:spacing w:before="40" w:after="40" w:line="276" w:lineRule="auto"/>
            </w:pPr>
            <w:r>
              <w:rPr>
                <w:rFonts w:ascii="宋体" w:hAnsi="宋体" w:eastAsia="宋体"/>
                <w:b w:val="0"/>
                <w:sz w:val="21"/>
              </w:rPr>
              <w:t>向量检索客户端</w:t>
            </w:r>
          </w:p>
        </w:tc>
      </w:tr>
      <w:tr>
        <w:tc>
          <w:tcPr>
            <w:tcW w:type="dxa" w:w="3184"/>
          </w:tcPr>
          <w:p>
            <w:pPr>
              <w:spacing w:before="40" w:after="40" w:line="276" w:lineRule="auto"/>
            </w:pPr>
            <w:r>
              <w:rPr>
                <w:rFonts w:ascii="宋体" w:hAnsi="宋体" w:eastAsia="宋体"/>
                <w:b w:val="0"/>
                <w:sz w:val="21"/>
              </w:rPr>
              <w:t>minio</w:t>
            </w:r>
          </w:p>
        </w:tc>
        <w:tc>
          <w:tcPr>
            <w:tcW w:type="dxa" w:w="1150"/>
          </w:tcPr>
          <w:p>
            <w:pPr>
              <w:spacing w:before="40" w:after="40" w:line="276" w:lineRule="auto"/>
            </w:pPr>
            <w:r>
              <w:rPr>
                <w:rFonts w:ascii="宋体" w:hAnsi="宋体" w:eastAsia="宋体"/>
                <w:b w:val="0"/>
                <w:sz w:val="21"/>
              </w:rPr>
              <w:t>7.2+</w:t>
            </w:r>
          </w:p>
        </w:tc>
        <w:tc>
          <w:tcPr>
            <w:tcW w:type="dxa" w:w="1946"/>
          </w:tcPr>
          <w:p>
            <w:pPr>
              <w:spacing w:before="40" w:after="40" w:line="276" w:lineRule="auto"/>
            </w:pPr>
            <w:r>
              <w:rPr>
                <w:rFonts w:ascii="宋体" w:hAnsi="宋体" w:eastAsia="宋体"/>
                <w:b w:val="0"/>
                <w:sz w:val="21"/>
              </w:rPr>
              <w:t>AGPL-3.0</w:t>
            </w:r>
          </w:p>
        </w:tc>
        <w:tc>
          <w:tcPr>
            <w:tcW w:type="dxa" w:w="2565"/>
          </w:tcPr>
          <w:p>
            <w:pPr>
              <w:spacing w:before="40" w:after="40" w:line="276" w:lineRule="auto"/>
            </w:pPr>
            <w:r>
              <w:rPr>
                <w:rFonts w:ascii="宋体" w:hAnsi="宋体" w:eastAsia="宋体"/>
                <w:b w:val="0"/>
                <w:sz w:val="21"/>
              </w:rPr>
              <w:t>对象存储客户端</w:t>
            </w:r>
          </w:p>
        </w:tc>
      </w:tr>
      <w:tr>
        <w:tc>
          <w:tcPr>
            <w:tcW w:type="dxa" w:w="3184"/>
          </w:tcPr>
          <w:p>
            <w:pPr>
              <w:spacing w:before="40" w:after="40" w:line="276" w:lineRule="auto"/>
            </w:pPr>
            <w:r>
              <w:rPr>
                <w:rFonts w:ascii="宋体" w:hAnsi="宋体" w:eastAsia="宋体"/>
                <w:b w:val="0"/>
                <w:sz w:val="21"/>
              </w:rPr>
              <w:t>LiteLLM</w:t>
            </w:r>
          </w:p>
        </w:tc>
        <w:tc>
          <w:tcPr>
            <w:tcW w:type="dxa" w:w="1150"/>
          </w:tcPr>
          <w:p>
            <w:pPr>
              <w:spacing w:before="40" w:after="40" w:line="276" w:lineRule="auto"/>
            </w:pPr>
            <w:r>
              <w:rPr>
                <w:rFonts w:ascii="宋体" w:hAnsi="宋体" w:eastAsia="宋体"/>
                <w:b w:val="0"/>
                <w:sz w:val="21"/>
              </w:rPr>
              <w:t>1.48+</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多模型统一网关</w:t>
            </w:r>
          </w:p>
        </w:tc>
      </w:tr>
      <w:tr>
        <w:tc>
          <w:tcPr>
            <w:tcW w:type="dxa" w:w="3184"/>
          </w:tcPr>
          <w:p>
            <w:pPr>
              <w:spacing w:before="40" w:after="40" w:line="276" w:lineRule="auto"/>
            </w:pPr>
            <w:r>
              <w:rPr>
                <w:rFonts w:ascii="宋体" w:hAnsi="宋体" w:eastAsia="宋体"/>
                <w:b w:val="0"/>
                <w:sz w:val="21"/>
              </w:rPr>
              <w:t>HTTPX</w:t>
            </w:r>
          </w:p>
        </w:tc>
        <w:tc>
          <w:tcPr>
            <w:tcW w:type="dxa" w:w="1150"/>
          </w:tcPr>
          <w:p>
            <w:pPr>
              <w:spacing w:before="40" w:after="40" w:line="276" w:lineRule="auto"/>
            </w:pPr>
            <w:r>
              <w:rPr>
                <w:rFonts w:ascii="宋体" w:hAnsi="宋体" w:eastAsia="宋体"/>
                <w:b w:val="0"/>
                <w:sz w:val="21"/>
              </w:rPr>
              <w:t>0.27+</w:t>
            </w:r>
          </w:p>
        </w:tc>
        <w:tc>
          <w:tcPr>
            <w:tcW w:type="dxa" w:w="1946"/>
          </w:tcPr>
          <w:p>
            <w:pPr>
              <w:spacing w:before="40" w:after="40" w:line="276" w:lineRule="auto"/>
            </w:pPr>
            <w:r>
              <w:rPr>
                <w:rFonts w:ascii="宋体" w:hAnsi="宋体" w:eastAsia="宋体"/>
                <w:b w:val="0"/>
                <w:sz w:val="21"/>
              </w:rPr>
              <w:t>BSD-3-Clause</w:t>
            </w:r>
          </w:p>
        </w:tc>
        <w:tc>
          <w:tcPr>
            <w:tcW w:type="dxa" w:w="2565"/>
          </w:tcPr>
          <w:p>
            <w:pPr>
              <w:spacing w:before="40" w:after="40" w:line="276" w:lineRule="auto"/>
            </w:pPr>
            <w:r>
              <w:rPr>
                <w:rFonts w:ascii="宋体" w:hAnsi="宋体" w:eastAsia="宋体"/>
                <w:b w:val="0"/>
                <w:sz w:val="21"/>
              </w:rPr>
              <w:t>异步 HTTP 客户端</w:t>
            </w:r>
          </w:p>
        </w:tc>
      </w:tr>
      <w:tr>
        <w:tc>
          <w:tcPr>
            <w:tcW w:type="dxa" w:w="3184"/>
          </w:tcPr>
          <w:p>
            <w:pPr>
              <w:spacing w:before="40" w:after="40" w:line="276" w:lineRule="auto"/>
            </w:pPr>
            <w:r>
              <w:rPr>
                <w:rFonts w:ascii="宋体" w:hAnsi="宋体" w:eastAsia="宋体"/>
                <w:b w:val="0"/>
                <w:sz w:val="21"/>
              </w:rPr>
              <w:t>Jinja2</w:t>
            </w:r>
          </w:p>
        </w:tc>
        <w:tc>
          <w:tcPr>
            <w:tcW w:type="dxa" w:w="1150"/>
          </w:tcPr>
          <w:p>
            <w:pPr>
              <w:spacing w:before="40" w:after="40" w:line="276" w:lineRule="auto"/>
            </w:pPr>
            <w:r>
              <w:rPr>
                <w:rFonts w:ascii="宋体" w:hAnsi="宋体" w:eastAsia="宋体"/>
                <w:b w:val="0"/>
                <w:sz w:val="21"/>
              </w:rPr>
              <w:t>3.1+</w:t>
            </w:r>
          </w:p>
        </w:tc>
        <w:tc>
          <w:tcPr>
            <w:tcW w:type="dxa" w:w="1946"/>
          </w:tcPr>
          <w:p>
            <w:pPr>
              <w:spacing w:before="40" w:after="40" w:line="276" w:lineRule="auto"/>
            </w:pPr>
            <w:r>
              <w:rPr>
                <w:rFonts w:ascii="宋体" w:hAnsi="宋体" w:eastAsia="宋体"/>
                <w:b w:val="0"/>
                <w:sz w:val="21"/>
              </w:rPr>
              <w:t>BSD-3-Clause</w:t>
            </w:r>
          </w:p>
        </w:tc>
        <w:tc>
          <w:tcPr>
            <w:tcW w:type="dxa" w:w="2565"/>
          </w:tcPr>
          <w:p>
            <w:pPr>
              <w:spacing w:before="40" w:after="40" w:line="276" w:lineRule="auto"/>
            </w:pPr>
            <w:r>
              <w:rPr>
                <w:rFonts w:ascii="宋体" w:hAnsi="宋体" w:eastAsia="宋体"/>
                <w:b w:val="0"/>
                <w:sz w:val="21"/>
              </w:rPr>
              <w:t>报告模板渲染</w:t>
            </w:r>
          </w:p>
        </w:tc>
      </w:tr>
      <w:tr>
        <w:tc>
          <w:tcPr>
            <w:tcW w:type="dxa" w:w="3184"/>
          </w:tcPr>
          <w:p>
            <w:pPr>
              <w:spacing w:before="40" w:after="40" w:line="276" w:lineRule="auto"/>
            </w:pPr>
            <w:r>
              <w:rPr>
                <w:rFonts w:ascii="宋体" w:hAnsi="宋体" w:eastAsia="宋体"/>
                <w:b w:val="0"/>
                <w:sz w:val="21"/>
              </w:rPr>
              <w:t>PyYAML</w:t>
            </w:r>
          </w:p>
        </w:tc>
        <w:tc>
          <w:tcPr>
            <w:tcW w:type="dxa" w:w="1150"/>
          </w:tcPr>
          <w:p>
            <w:pPr>
              <w:spacing w:before="40" w:after="40" w:line="276" w:lineRule="auto"/>
            </w:pPr>
            <w:r>
              <w:rPr>
                <w:rFonts w:ascii="宋体" w:hAnsi="宋体" w:eastAsia="宋体"/>
                <w:b w:val="0"/>
                <w:sz w:val="21"/>
              </w:rPr>
              <w:t>6.0+</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内容资产（用例 / 规则 / 策略）加载</w:t>
            </w:r>
          </w:p>
        </w:tc>
      </w:tr>
      <w:tr>
        <w:tc>
          <w:tcPr>
            <w:tcW w:type="dxa" w:w="3184"/>
          </w:tcPr>
          <w:p>
            <w:pPr>
              <w:spacing w:before="40" w:after="40" w:line="276" w:lineRule="auto"/>
            </w:pPr>
            <w:r>
              <w:rPr>
                <w:rFonts w:ascii="宋体" w:hAnsi="宋体" w:eastAsia="宋体"/>
                <w:b w:val="0"/>
                <w:sz w:val="21"/>
              </w:rPr>
              <w:t>cryptography</w:t>
            </w:r>
          </w:p>
        </w:tc>
        <w:tc>
          <w:tcPr>
            <w:tcW w:type="dxa" w:w="1150"/>
          </w:tcPr>
          <w:p>
            <w:pPr>
              <w:spacing w:before="40" w:after="40" w:line="276" w:lineRule="auto"/>
            </w:pPr>
            <w:r>
              <w:rPr>
                <w:rFonts w:ascii="宋体" w:hAnsi="宋体" w:eastAsia="宋体"/>
                <w:b w:val="0"/>
                <w:sz w:val="21"/>
              </w:rPr>
              <w:t>43.0+</w:t>
            </w:r>
          </w:p>
        </w:tc>
        <w:tc>
          <w:tcPr>
            <w:tcW w:type="dxa" w:w="1946"/>
          </w:tcPr>
          <w:p>
            <w:pPr>
              <w:spacing w:before="40" w:after="40" w:line="276" w:lineRule="auto"/>
            </w:pPr>
            <w:r>
              <w:rPr>
                <w:rFonts w:ascii="宋体" w:hAnsi="宋体" w:eastAsia="宋体"/>
                <w:b w:val="0"/>
                <w:sz w:val="21"/>
              </w:rPr>
              <w:t>Apache-2.0 / BSD-3-Clause</w:t>
            </w:r>
          </w:p>
        </w:tc>
        <w:tc>
          <w:tcPr>
            <w:tcW w:type="dxa" w:w="2565"/>
          </w:tcPr>
          <w:p>
            <w:pPr>
              <w:spacing w:before="40" w:after="40" w:line="276" w:lineRule="auto"/>
            </w:pPr>
            <w:r>
              <w:rPr>
                <w:rFonts w:ascii="宋体" w:hAnsi="宋体" w:eastAsia="宋体"/>
                <w:b w:val="0"/>
                <w:sz w:val="21"/>
              </w:rPr>
              <w:t>凭据加密存储</w:t>
            </w:r>
          </w:p>
        </w:tc>
      </w:tr>
      <w:tr>
        <w:tc>
          <w:tcPr>
            <w:tcW w:type="dxa" w:w="3184"/>
          </w:tcPr>
          <w:p>
            <w:pPr>
              <w:spacing w:before="40" w:after="40" w:line="276" w:lineRule="auto"/>
            </w:pPr>
            <w:r>
              <w:rPr>
                <w:rFonts w:ascii="宋体" w:hAnsi="宋体" w:eastAsia="宋体"/>
                <w:b w:val="0"/>
                <w:sz w:val="21"/>
              </w:rPr>
              <w:t>Typer / Rich</w:t>
            </w:r>
          </w:p>
        </w:tc>
        <w:tc>
          <w:tcPr>
            <w:tcW w:type="dxa" w:w="1150"/>
          </w:tcPr>
          <w:p>
            <w:pPr>
              <w:spacing w:before="40" w:after="40" w:line="276" w:lineRule="auto"/>
            </w:pPr>
            <w:r>
              <w:rPr>
                <w:rFonts w:ascii="宋体" w:hAnsi="宋体" w:eastAsia="宋体"/>
                <w:b w:val="0"/>
                <w:sz w:val="21"/>
              </w:rPr>
              <w:t>0.12+ / 13.9+</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命令行工具与终端输出</w:t>
            </w:r>
          </w:p>
        </w:tc>
      </w:tr>
      <w:tr>
        <w:tc>
          <w:tcPr>
            <w:tcW w:type="dxa" w:w="3184"/>
          </w:tcPr>
          <w:p>
            <w:pPr>
              <w:spacing w:before="40" w:after="40" w:line="276" w:lineRule="auto"/>
            </w:pPr>
            <w:r>
              <w:rPr>
                <w:rFonts w:ascii="宋体" w:hAnsi="宋体" w:eastAsia="宋体"/>
                <w:b w:val="0"/>
                <w:sz w:val="21"/>
              </w:rPr>
              <w:t>dnspython</w:t>
            </w:r>
          </w:p>
        </w:tc>
        <w:tc>
          <w:tcPr>
            <w:tcW w:type="dxa" w:w="1150"/>
          </w:tcPr>
          <w:p>
            <w:pPr>
              <w:spacing w:before="40" w:after="40" w:line="276" w:lineRule="auto"/>
            </w:pPr>
            <w:r>
              <w:rPr>
                <w:rFonts w:ascii="宋体" w:hAnsi="宋体" w:eastAsia="宋体"/>
                <w:b w:val="0"/>
                <w:sz w:val="21"/>
              </w:rPr>
              <w:t>2.7+</w:t>
            </w:r>
          </w:p>
        </w:tc>
        <w:tc>
          <w:tcPr>
            <w:tcW w:type="dxa" w:w="1946"/>
          </w:tcPr>
          <w:p>
            <w:pPr>
              <w:spacing w:before="40" w:after="40" w:line="276" w:lineRule="auto"/>
            </w:pPr>
            <w:r>
              <w:rPr>
                <w:rFonts w:ascii="宋体" w:hAnsi="宋体" w:eastAsia="宋体"/>
                <w:b w:val="0"/>
                <w:sz w:val="21"/>
              </w:rPr>
              <w:t>ISC</w:t>
            </w:r>
          </w:p>
        </w:tc>
        <w:tc>
          <w:tcPr>
            <w:tcW w:type="dxa" w:w="2565"/>
          </w:tcPr>
          <w:p>
            <w:pPr>
              <w:spacing w:before="40" w:after="40" w:line="276" w:lineRule="auto"/>
            </w:pPr>
            <w:r>
              <w:rPr>
                <w:rFonts w:ascii="宋体" w:hAnsi="宋体" w:eastAsia="宋体"/>
                <w:b w:val="0"/>
                <w:sz w:val="21"/>
              </w:rPr>
              <w:t>归属校验的 DNS TXT 查询</w:t>
            </w:r>
          </w:p>
        </w:tc>
      </w:tr>
      <w:tr>
        <w:tc>
          <w:tcPr>
            <w:tcW w:type="dxa" w:w="3184"/>
          </w:tcPr>
          <w:p>
            <w:pPr>
              <w:spacing w:before="40" w:after="40" w:line="276" w:lineRule="auto"/>
            </w:pPr>
            <w:r>
              <w:rPr>
                <w:rFonts w:ascii="宋体" w:hAnsi="宋体" w:eastAsia="宋体"/>
                <w:b w:val="0"/>
                <w:sz w:val="21"/>
              </w:rPr>
              <w:t>React / React DOM</w:t>
            </w:r>
          </w:p>
        </w:tc>
        <w:tc>
          <w:tcPr>
            <w:tcW w:type="dxa" w:w="1150"/>
          </w:tcPr>
          <w:p>
            <w:pPr>
              <w:spacing w:before="40" w:after="40" w:line="276" w:lineRule="auto"/>
            </w:pPr>
            <w:r>
              <w:rPr>
                <w:rFonts w:ascii="宋体" w:hAnsi="宋体" w:eastAsia="宋体"/>
                <w:b w:val="0"/>
                <w:sz w:val="21"/>
              </w:rPr>
              <w:t>19.x</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前端 UI 框架</w:t>
            </w:r>
          </w:p>
        </w:tc>
      </w:tr>
      <w:tr>
        <w:tc>
          <w:tcPr>
            <w:tcW w:type="dxa" w:w="3184"/>
          </w:tcPr>
          <w:p>
            <w:pPr>
              <w:spacing w:before="40" w:after="40" w:line="276" w:lineRule="auto"/>
            </w:pPr>
            <w:r>
              <w:rPr>
                <w:rFonts w:ascii="宋体" w:hAnsi="宋体" w:eastAsia="宋体"/>
                <w:b w:val="0"/>
                <w:sz w:val="21"/>
              </w:rPr>
              <w:t>React Router</w:t>
            </w:r>
          </w:p>
        </w:tc>
        <w:tc>
          <w:tcPr>
            <w:tcW w:type="dxa" w:w="1150"/>
          </w:tcPr>
          <w:p>
            <w:pPr>
              <w:spacing w:before="40" w:after="40" w:line="276" w:lineRule="auto"/>
            </w:pPr>
            <w:r>
              <w:rPr>
                <w:rFonts w:ascii="宋体" w:hAnsi="宋体" w:eastAsia="宋体"/>
                <w:b w:val="0"/>
                <w:sz w:val="21"/>
              </w:rPr>
              <w:t>6.x</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前端路由</w:t>
            </w:r>
          </w:p>
        </w:tc>
      </w:tr>
      <w:tr>
        <w:tc>
          <w:tcPr>
            <w:tcW w:type="dxa" w:w="3184"/>
          </w:tcPr>
          <w:p>
            <w:pPr>
              <w:spacing w:before="40" w:after="40" w:line="276" w:lineRule="auto"/>
            </w:pPr>
            <w:r>
              <w:rPr>
                <w:rFonts w:ascii="宋体" w:hAnsi="宋体" w:eastAsia="宋体"/>
                <w:b w:val="0"/>
                <w:sz w:val="21"/>
              </w:rPr>
              <w:t>TanStack Query</w:t>
            </w:r>
          </w:p>
        </w:tc>
        <w:tc>
          <w:tcPr>
            <w:tcW w:type="dxa" w:w="1150"/>
          </w:tcPr>
          <w:p>
            <w:pPr>
              <w:spacing w:before="40" w:after="40" w:line="276" w:lineRule="auto"/>
            </w:pPr>
            <w:r>
              <w:rPr>
                <w:rFonts w:ascii="宋体" w:hAnsi="宋体" w:eastAsia="宋体"/>
                <w:b w:val="0"/>
                <w:sz w:val="21"/>
              </w:rPr>
              <w:t>5.x</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服务端状态与数据缓存</w:t>
            </w:r>
          </w:p>
        </w:tc>
      </w:tr>
      <w:tr>
        <w:tc>
          <w:tcPr>
            <w:tcW w:type="dxa" w:w="3184"/>
          </w:tcPr>
          <w:p>
            <w:pPr>
              <w:spacing w:before="40" w:after="40" w:line="276" w:lineRule="auto"/>
            </w:pPr>
            <w:r>
              <w:rPr>
                <w:rFonts w:ascii="宋体" w:hAnsi="宋体" w:eastAsia="宋体"/>
                <w:b w:val="0"/>
                <w:sz w:val="21"/>
              </w:rPr>
              <w:t>Zustand</w:t>
            </w:r>
          </w:p>
        </w:tc>
        <w:tc>
          <w:tcPr>
            <w:tcW w:type="dxa" w:w="1150"/>
          </w:tcPr>
          <w:p>
            <w:pPr>
              <w:spacing w:before="40" w:after="40" w:line="276" w:lineRule="auto"/>
            </w:pPr>
            <w:r>
              <w:rPr>
                <w:rFonts w:ascii="宋体" w:hAnsi="宋体" w:eastAsia="宋体"/>
                <w:b w:val="0"/>
                <w:sz w:val="21"/>
              </w:rPr>
              <w:t>5.x</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客户端状态管理</w:t>
            </w:r>
          </w:p>
        </w:tc>
      </w:tr>
      <w:tr>
        <w:tc>
          <w:tcPr>
            <w:tcW w:type="dxa" w:w="3184"/>
          </w:tcPr>
          <w:p>
            <w:pPr>
              <w:spacing w:before="40" w:after="40" w:line="276" w:lineRule="auto"/>
            </w:pPr>
            <w:r>
              <w:rPr>
                <w:rFonts w:ascii="宋体" w:hAnsi="宋体" w:eastAsia="宋体"/>
                <w:b w:val="0"/>
                <w:sz w:val="21"/>
              </w:rPr>
              <w:t>Vite</w:t>
            </w:r>
          </w:p>
        </w:tc>
        <w:tc>
          <w:tcPr>
            <w:tcW w:type="dxa" w:w="1150"/>
          </w:tcPr>
          <w:p>
            <w:pPr>
              <w:spacing w:before="40" w:after="40" w:line="276" w:lineRule="auto"/>
            </w:pPr>
            <w:r>
              <w:rPr>
                <w:rFonts w:ascii="宋体" w:hAnsi="宋体" w:eastAsia="宋体"/>
                <w:b w:val="0"/>
                <w:sz w:val="21"/>
              </w:rPr>
              <w:t>5.4</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前端构建与开发服务器</w:t>
            </w:r>
          </w:p>
        </w:tc>
      </w:tr>
      <w:tr>
        <w:tc>
          <w:tcPr>
            <w:tcW w:type="dxa" w:w="3184"/>
          </w:tcPr>
          <w:p>
            <w:pPr>
              <w:spacing w:before="40" w:after="40" w:line="276" w:lineRule="auto"/>
            </w:pPr>
            <w:r>
              <w:rPr>
                <w:rFonts w:ascii="宋体" w:hAnsi="宋体" w:eastAsia="宋体"/>
                <w:b w:val="0"/>
                <w:sz w:val="21"/>
              </w:rPr>
              <w:t>TypeScript</w:t>
            </w:r>
          </w:p>
        </w:tc>
        <w:tc>
          <w:tcPr>
            <w:tcW w:type="dxa" w:w="1150"/>
          </w:tcPr>
          <w:p>
            <w:pPr>
              <w:spacing w:before="40" w:after="40" w:line="276" w:lineRule="auto"/>
            </w:pPr>
            <w:r>
              <w:rPr>
                <w:rFonts w:ascii="宋体" w:hAnsi="宋体" w:eastAsia="宋体"/>
                <w:b w:val="0"/>
                <w:sz w:val="21"/>
              </w:rPr>
              <w:t>5.9</w:t>
            </w:r>
          </w:p>
        </w:tc>
        <w:tc>
          <w:tcPr>
            <w:tcW w:type="dxa" w:w="1946"/>
          </w:tcPr>
          <w:p>
            <w:pPr>
              <w:spacing w:before="40" w:after="40" w:line="276" w:lineRule="auto"/>
            </w:pPr>
            <w:r>
              <w:rPr>
                <w:rFonts w:ascii="宋体" w:hAnsi="宋体" w:eastAsia="宋体"/>
                <w:b w:val="0"/>
                <w:sz w:val="21"/>
              </w:rPr>
              <w:t>Apache-2.0</w:t>
            </w:r>
          </w:p>
        </w:tc>
        <w:tc>
          <w:tcPr>
            <w:tcW w:type="dxa" w:w="2565"/>
          </w:tcPr>
          <w:p>
            <w:pPr>
              <w:spacing w:before="40" w:after="40" w:line="276" w:lineRule="auto"/>
            </w:pPr>
            <w:r>
              <w:rPr>
                <w:rFonts w:ascii="宋体" w:hAnsi="宋体" w:eastAsia="宋体"/>
                <w:b w:val="0"/>
                <w:sz w:val="21"/>
              </w:rPr>
              <w:t>前端类型系统</w:t>
            </w:r>
          </w:p>
        </w:tc>
      </w:tr>
      <w:tr>
        <w:tc>
          <w:tcPr>
            <w:tcW w:type="dxa" w:w="3184"/>
          </w:tcPr>
          <w:p>
            <w:pPr>
              <w:spacing w:before="40" w:after="40" w:line="276" w:lineRule="auto"/>
            </w:pPr>
            <w:r>
              <w:rPr>
                <w:rFonts w:ascii="宋体" w:hAnsi="宋体" w:eastAsia="宋体"/>
                <w:b w:val="0"/>
                <w:sz w:val="21"/>
              </w:rPr>
              <w:t>Tailwind CSS</w:t>
            </w:r>
          </w:p>
        </w:tc>
        <w:tc>
          <w:tcPr>
            <w:tcW w:type="dxa" w:w="1150"/>
          </w:tcPr>
          <w:p>
            <w:pPr>
              <w:spacing w:before="40" w:after="40" w:line="276" w:lineRule="auto"/>
            </w:pPr>
            <w:r>
              <w:rPr>
                <w:rFonts w:ascii="宋体" w:hAnsi="宋体" w:eastAsia="宋体"/>
                <w:b w:val="0"/>
                <w:sz w:val="21"/>
              </w:rPr>
              <w:t>3.4</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原子化样式</w:t>
            </w:r>
          </w:p>
        </w:tc>
      </w:tr>
      <w:tr>
        <w:tc>
          <w:tcPr>
            <w:tcW w:type="dxa" w:w="3184"/>
          </w:tcPr>
          <w:p>
            <w:pPr>
              <w:spacing w:before="40" w:after="40" w:line="276" w:lineRule="auto"/>
            </w:pPr>
            <w:r>
              <w:rPr>
                <w:rFonts w:ascii="宋体" w:hAnsi="宋体" w:eastAsia="宋体"/>
                <w:b w:val="0"/>
                <w:sz w:val="21"/>
              </w:rPr>
              <w:t>ECharts</w:t>
            </w:r>
          </w:p>
        </w:tc>
        <w:tc>
          <w:tcPr>
            <w:tcW w:type="dxa" w:w="1150"/>
          </w:tcPr>
          <w:p>
            <w:pPr>
              <w:spacing w:before="40" w:after="40" w:line="276" w:lineRule="auto"/>
            </w:pPr>
            <w:r>
              <w:rPr>
                <w:rFonts w:ascii="宋体" w:hAnsi="宋体" w:eastAsia="宋体"/>
                <w:b w:val="0"/>
                <w:sz w:val="21"/>
              </w:rPr>
              <w:t>5.5</w:t>
            </w:r>
          </w:p>
        </w:tc>
        <w:tc>
          <w:tcPr>
            <w:tcW w:type="dxa" w:w="1946"/>
          </w:tcPr>
          <w:p>
            <w:pPr>
              <w:spacing w:before="40" w:after="40" w:line="276" w:lineRule="auto"/>
            </w:pPr>
            <w:r>
              <w:rPr>
                <w:rFonts w:ascii="宋体" w:hAnsi="宋体" w:eastAsia="宋体"/>
                <w:b w:val="0"/>
                <w:sz w:val="21"/>
              </w:rPr>
              <w:t>Apache-2.0</w:t>
            </w:r>
          </w:p>
        </w:tc>
        <w:tc>
          <w:tcPr>
            <w:tcW w:type="dxa" w:w="2565"/>
          </w:tcPr>
          <w:p>
            <w:pPr>
              <w:spacing w:before="40" w:after="40" w:line="276" w:lineRule="auto"/>
            </w:pPr>
            <w:r>
              <w:rPr>
                <w:rFonts w:ascii="宋体" w:hAnsi="宋体" w:eastAsia="宋体"/>
                <w:b w:val="0"/>
                <w:sz w:val="21"/>
              </w:rPr>
              <w:t>评分与覆盖率可视化图表</w:t>
            </w:r>
          </w:p>
        </w:tc>
      </w:tr>
      <w:tr>
        <w:tc>
          <w:tcPr>
            <w:tcW w:type="dxa" w:w="3184"/>
          </w:tcPr>
          <w:p>
            <w:pPr>
              <w:spacing w:before="40" w:after="40" w:line="276" w:lineRule="auto"/>
            </w:pPr>
            <w:r>
              <w:rPr>
                <w:rFonts w:ascii="宋体" w:hAnsi="宋体" w:eastAsia="宋体"/>
                <w:b w:val="0"/>
                <w:sz w:val="21"/>
              </w:rPr>
              <w:t>Dexie</w:t>
            </w:r>
          </w:p>
        </w:tc>
        <w:tc>
          <w:tcPr>
            <w:tcW w:type="dxa" w:w="1150"/>
          </w:tcPr>
          <w:p>
            <w:pPr>
              <w:spacing w:before="40" w:after="40" w:line="276" w:lineRule="auto"/>
            </w:pPr>
            <w:r>
              <w:rPr>
                <w:rFonts w:ascii="宋体" w:hAnsi="宋体" w:eastAsia="宋体"/>
                <w:b w:val="0"/>
                <w:sz w:val="21"/>
              </w:rPr>
              <w:t>4.x</w:t>
            </w:r>
          </w:p>
        </w:tc>
        <w:tc>
          <w:tcPr>
            <w:tcW w:type="dxa" w:w="1946"/>
          </w:tcPr>
          <w:p>
            <w:pPr>
              <w:spacing w:before="40" w:after="40" w:line="276" w:lineRule="auto"/>
            </w:pPr>
            <w:r>
              <w:rPr>
                <w:rFonts w:ascii="宋体" w:hAnsi="宋体" w:eastAsia="宋体"/>
                <w:b w:val="0"/>
                <w:sz w:val="21"/>
              </w:rPr>
              <w:t>Apache-2.0</w:t>
            </w:r>
          </w:p>
        </w:tc>
        <w:tc>
          <w:tcPr>
            <w:tcW w:type="dxa" w:w="2565"/>
          </w:tcPr>
          <w:p>
            <w:pPr>
              <w:spacing w:before="40" w:after="40" w:line="276" w:lineRule="auto"/>
            </w:pPr>
            <w:r>
              <w:rPr>
                <w:rFonts w:ascii="宋体" w:hAnsi="宋体" w:eastAsia="宋体"/>
                <w:b w:val="0"/>
                <w:sz w:val="21"/>
              </w:rPr>
              <w:t>浏览器端本地草稿与离线回放</w:t>
            </w:r>
          </w:p>
        </w:tc>
      </w:tr>
      <w:tr>
        <w:tc>
          <w:tcPr>
            <w:tcW w:type="dxa" w:w="3184"/>
          </w:tcPr>
          <w:p>
            <w:pPr>
              <w:spacing w:before="40" w:after="40" w:line="276" w:lineRule="auto"/>
            </w:pPr>
            <w:r>
              <w:rPr>
                <w:rFonts w:ascii="宋体" w:hAnsi="宋体" w:eastAsia="宋体"/>
                <w:b w:val="0"/>
                <w:sz w:val="21"/>
              </w:rPr>
              <w:t>framer-motion</w:t>
            </w:r>
          </w:p>
        </w:tc>
        <w:tc>
          <w:tcPr>
            <w:tcW w:type="dxa" w:w="1150"/>
          </w:tcPr>
          <w:p>
            <w:pPr>
              <w:spacing w:before="40" w:after="40" w:line="276" w:lineRule="auto"/>
            </w:pPr>
            <w:r>
              <w:rPr>
                <w:rFonts w:ascii="宋体" w:hAnsi="宋体" w:eastAsia="宋体"/>
                <w:b w:val="0"/>
                <w:sz w:val="21"/>
              </w:rPr>
              <w:t>11.18.2</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界面动效与登录页视差</w:t>
            </w:r>
          </w:p>
        </w:tc>
      </w:tr>
      <w:tr>
        <w:tc>
          <w:tcPr>
            <w:tcW w:type="dxa" w:w="3184"/>
          </w:tcPr>
          <w:p>
            <w:pPr>
              <w:spacing w:before="40" w:after="40" w:line="276" w:lineRule="auto"/>
            </w:pPr>
            <w:r>
              <w:rPr>
                <w:rFonts w:ascii="宋体" w:hAnsi="宋体" w:eastAsia="宋体"/>
                <w:b w:val="0"/>
                <w:sz w:val="21"/>
              </w:rPr>
              <w:t>ogl</w:t>
            </w:r>
          </w:p>
        </w:tc>
        <w:tc>
          <w:tcPr>
            <w:tcW w:type="dxa" w:w="1150"/>
          </w:tcPr>
          <w:p>
            <w:pPr>
              <w:spacing w:before="40" w:after="40" w:line="276" w:lineRule="auto"/>
            </w:pPr>
            <w:r>
              <w:rPr>
                <w:rFonts w:ascii="宋体" w:hAnsi="宋体" w:eastAsia="宋体"/>
                <w:b w:val="0"/>
                <w:sz w:val="21"/>
              </w:rPr>
              <w:t>1.0.x</w:t>
            </w:r>
          </w:p>
        </w:tc>
        <w:tc>
          <w:tcPr>
            <w:tcW w:type="dxa" w:w="1946"/>
          </w:tcPr>
          <w:p>
            <w:pPr>
              <w:spacing w:before="40" w:after="40" w:line="276" w:lineRule="auto"/>
            </w:pPr>
            <w:r>
              <w:rPr>
                <w:rFonts w:ascii="宋体" w:hAnsi="宋体" w:eastAsia="宋体"/>
                <w:b w:val="0"/>
                <w:sz w:val="21"/>
              </w:rPr>
              <w:t>Unlicense</w:t>
            </w:r>
          </w:p>
        </w:tc>
        <w:tc>
          <w:tcPr>
            <w:tcW w:type="dxa" w:w="2565"/>
          </w:tcPr>
          <w:p>
            <w:pPr>
              <w:spacing w:before="40" w:after="40" w:line="276" w:lineRule="auto"/>
            </w:pPr>
            <w:r>
              <w:rPr>
                <w:rFonts w:ascii="宋体" w:hAnsi="宋体" w:eastAsia="宋体"/>
                <w:b w:val="0"/>
                <w:sz w:val="21"/>
              </w:rPr>
              <w:t>背景动效的 WebGL 渲染</w:t>
            </w:r>
          </w:p>
        </w:tc>
      </w:tr>
      <w:tr>
        <w:tc>
          <w:tcPr>
            <w:tcW w:type="dxa" w:w="3184"/>
          </w:tcPr>
          <w:p>
            <w:pPr>
              <w:spacing w:before="40" w:after="40" w:line="276" w:lineRule="auto"/>
            </w:pPr>
            <w:r>
              <w:rPr>
                <w:rFonts w:ascii="宋体" w:hAnsi="宋体" w:eastAsia="宋体"/>
                <w:b w:val="0"/>
                <w:sz w:val="21"/>
              </w:rPr>
              <w:t>three.js / postprocessing</w:t>
            </w:r>
          </w:p>
        </w:tc>
        <w:tc>
          <w:tcPr>
            <w:tcW w:type="dxa" w:w="1150"/>
          </w:tcPr>
          <w:p>
            <w:pPr>
              <w:spacing w:before="40" w:after="40" w:line="276" w:lineRule="auto"/>
            </w:pPr>
            <w:r>
              <w:rPr>
                <w:rFonts w:ascii="宋体" w:hAnsi="宋体" w:eastAsia="宋体"/>
                <w:b w:val="0"/>
                <w:sz w:val="21"/>
              </w:rPr>
              <w:t>0.170 / 6.36+</w:t>
            </w:r>
          </w:p>
        </w:tc>
        <w:tc>
          <w:tcPr>
            <w:tcW w:type="dxa" w:w="1946"/>
          </w:tcPr>
          <w:p>
            <w:pPr>
              <w:spacing w:before="40" w:after="40" w:line="276" w:lineRule="auto"/>
            </w:pPr>
            <w:r>
              <w:rPr>
                <w:rFonts w:ascii="宋体" w:hAnsi="宋体" w:eastAsia="宋体"/>
                <w:b w:val="0"/>
                <w:sz w:val="21"/>
              </w:rPr>
              <w:t>MIT / Zlib</w:t>
            </w:r>
          </w:p>
        </w:tc>
        <w:tc>
          <w:tcPr>
            <w:tcW w:type="dxa" w:w="2565"/>
          </w:tcPr>
          <w:p>
            <w:pPr>
              <w:spacing w:before="40" w:after="40" w:line="276" w:lineRule="auto"/>
            </w:pPr>
            <w:r>
              <w:rPr>
                <w:rFonts w:ascii="宋体" w:hAnsi="宋体" w:eastAsia="宋体"/>
                <w:b w:val="0"/>
                <w:sz w:val="21"/>
              </w:rPr>
              <w:t>攻击矩阵页网格扫描背景</w:t>
            </w:r>
          </w:p>
        </w:tc>
      </w:tr>
      <w:tr>
        <w:tc>
          <w:tcPr>
            <w:tcW w:type="dxa" w:w="3184"/>
          </w:tcPr>
          <w:p>
            <w:pPr>
              <w:spacing w:before="40" w:after="40" w:line="276" w:lineRule="auto"/>
            </w:pPr>
            <w:r>
              <w:rPr>
                <w:rFonts w:ascii="宋体" w:hAnsi="宋体" w:eastAsia="宋体"/>
                <w:b w:val="0"/>
                <w:sz w:val="21"/>
              </w:rPr>
              <w:t>ReactBits（react-bits）背景组件</w:t>
            </w:r>
          </w:p>
        </w:tc>
        <w:tc>
          <w:tcPr>
            <w:tcW w:type="dxa" w:w="1150"/>
          </w:tcPr>
          <w:p>
            <w:pPr>
              <w:spacing w:before="40" w:after="40" w:line="276" w:lineRule="auto"/>
            </w:pPr>
            <w:r>
              <w:rPr>
                <w:rFonts w:ascii="宋体" w:hAnsi="宋体" w:eastAsia="宋体"/>
                <w:b w:val="0"/>
                <w:sz w:val="21"/>
              </w:rPr>
              <w:t>main 分支快照</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背景动效组件源码参考与移植</w:t>
            </w:r>
          </w:p>
        </w:tc>
      </w:tr>
      <w:tr>
        <w:tc>
          <w:tcPr>
            <w:tcW w:type="dxa" w:w="3184"/>
          </w:tcPr>
          <w:p>
            <w:pPr>
              <w:spacing w:before="40" w:after="40" w:line="276" w:lineRule="auto"/>
            </w:pPr>
            <w:r>
              <w:rPr>
                <w:rFonts w:ascii="宋体" w:hAnsi="宋体" w:eastAsia="宋体"/>
                <w:b w:val="0"/>
                <w:sz w:val="21"/>
              </w:rPr>
              <w:t>Vitest / Playwright / Storybook</w:t>
            </w:r>
          </w:p>
        </w:tc>
        <w:tc>
          <w:tcPr>
            <w:tcW w:type="dxa" w:w="1150"/>
          </w:tcPr>
          <w:p>
            <w:pPr>
              <w:spacing w:before="40" w:after="40" w:line="276" w:lineRule="auto"/>
            </w:pPr>
            <w:r>
              <w:rPr>
                <w:rFonts w:ascii="宋体" w:hAnsi="宋体" w:eastAsia="宋体"/>
                <w:b w:val="0"/>
                <w:sz w:val="21"/>
              </w:rPr>
              <w:t>2.1 / 1.48+ / 8.4+</w:t>
            </w:r>
          </w:p>
        </w:tc>
        <w:tc>
          <w:tcPr>
            <w:tcW w:type="dxa" w:w="1946"/>
          </w:tcPr>
          <w:p>
            <w:pPr>
              <w:spacing w:before="40" w:after="40" w:line="276" w:lineRule="auto"/>
            </w:pPr>
            <w:r>
              <w:rPr>
                <w:rFonts w:ascii="宋体" w:hAnsi="宋体" w:eastAsia="宋体"/>
                <w:b w:val="0"/>
                <w:sz w:val="21"/>
              </w:rPr>
              <w:t>MIT</w:t>
            </w:r>
          </w:p>
        </w:tc>
        <w:tc>
          <w:tcPr>
            <w:tcW w:type="dxa" w:w="2565"/>
          </w:tcPr>
          <w:p>
            <w:pPr>
              <w:spacing w:before="40" w:after="40" w:line="276" w:lineRule="auto"/>
            </w:pPr>
            <w:r>
              <w:rPr>
                <w:rFonts w:ascii="宋体" w:hAnsi="宋体" w:eastAsia="宋体"/>
                <w:b w:val="0"/>
                <w:sz w:val="21"/>
              </w:rPr>
              <w:t>前端测试与组件走查</w:t>
            </w:r>
          </w:p>
        </w:tc>
      </w:tr>
    </w:tbl>
    <w:p>
      <w:pPr>
        <w:spacing w:before="60" w:after="200"/>
        <w:jc w:val="center"/>
      </w:pPr>
      <w:r>
        <w:rPr>
          <w:rFonts w:ascii="宋体" w:hAnsi="宋体" w:eastAsia="宋体"/>
          <w:b w:val="0"/>
          <w:color w:val="555555"/>
          <w:sz w:val="21"/>
        </w:rPr>
        <w:t>表 8  开源组件来源与许可</w:t>
      </w:r>
    </w:p>
    <w:p>
      <w:pPr>
        <w:pStyle w:val="Heading3"/>
        <w:spacing w:line="336" w:lineRule="auto" w:before="160" w:after="80"/>
      </w:pPr>
      <w:r>
        <w:rPr>
          <w:rFonts w:ascii="黑体" w:hAnsi="黑体" w:eastAsia="黑体"/>
          <w:b/>
          <w:color w:val="333333"/>
          <w:sz w:val="24"/>
        </w:rPr>
        <w:t>开源许可合规说明</w:t>
      </w:r>
    </w:p>
    <w:p>
      <w:pPr>
        <w:spacing w:after="80" w:line="336" w:lineRule="auto"/>
        <w:ind w:left="510" w:hanging="312"/>
      </w:pPr>
      <w:r>
        <w:rPr>
          <w:rFonts w:ascii="宋体" w:hAnsi="宋体" w:eastAsia="宋体"/>
          <w:b w:val="0"/>
          <w:sz w:val="23"/>
        </w:rPr>
        <w:t xml:space="preserve">● </w:t>
      </w:r>
      <w:r>
        <w:rPr>
          <w:rFonts w:ascii="宋体" w:hAnsi="宋体" w:eastAsia="宋体"/>
          <w:b/>
          <w:sz w:val="23"/>
        </w:rPr>
        <w:t xml:space="preserve">① </w:t>
      </w:r>
      <w:r>
        <w:rPr>
          <w:rFonts w:ascii="宋体" w:hAnsi="宋体" w:eastAsia="宋体"/>
          <w:b w:val="0"/>
          <w:sz w:val="23"/>
        </w:rPr>
        <w:t>MIT / BSD-3-Clause / ISC / Apache-2.0 / Zlib / Unlicense 类协议：允许自由使用、修改与分发，本作品在文档中保留原始版权与许可声明，并在源码目录中保留各组件自带的 LICENSE 文件。</w:t>
      </w:r>
    </w:p>
    <w:p>
      <w:pPr>
        <w:spacing w:after="80" w:line="336" w:lineRule="auto"/>
        <w:ind w:left="510" w:hanging="312"/>
      </w:pPr>
      <w:r>
        <w:rPr>
          <w:rFonts w:ascii="宋体" w:hAnsi="宋体" w:eastAsia="宋体"/>
          <w:b w:val="0"/>
          <w:sz w:val="23"/>
        </w:rPr>
        <w:t xml:space="preserve">● </w:t>
      </w:r>
      <w:r>
        <w:rPr>
          <w:rFonts w:ascii="宋体" w:hAnsi="宋体" w:eastAsia="宋体"/>
          <w:b/>
          <w:sz w:val="23"/>
        </w:rPr>
        <w:t xml:space="preserve">② </w:t>
      </w:r>
      <w:r>
        <w:rPr>
          <w:rFonts w:ascii="宋体" w:hAnsi="宋体" w:eastAsia="宋体"/>
          <w:b w:val="0"/>
          <w:sz w:val="23"/>
        </w:rPr>
        <w:t>AGPL-3.0 类协议（MinIO 客户端、MinIO 服务端）：本作品仅将其作为对象存储的访问客户端与配套服务使用，未修改其源码，也未将其代码并入本作品源码，因此不触发 AGPL 的衍生作品传染条款。在正式对外发布的服务化部署中，小组将进一步评估替代方案（如改用 Apache-2.0 许可的 S3 兼容组件）以彻底规避许可风险。</w:t>
      </w:r>
    </w:p>
    <w:p>
      <w:pPr>
        <w:spacing w:after="80" w:line="336" w:lineRule="auto"/>
        <w:ind w:left="510" w:hanging="312"/>
      </w:pPr>
      <w:r>
        <w:rPr>
          <w:rFonts w:ascii="宋体" w:hAnsi="宋体" w:eastAsia="宋体"/>
          <w:b w:val="0"/>
          <w:sz w:val="23"/>
        </w:rPr>
        <w:t xml:space="preserve">● </w:t>
      </w:r>
      <w:r>
        <w:rPr>
          <w:rFonts w:ascii="宋体" w:hAnsi="宋体" w:eastAsia="宋体"/>
          <w:b/>
          <w:sz w:val="23"/>
        </w:rPr>
        <w:t xml:space="preserve">③ </w:t>
      </w:r>
      <w:r>
        <w:rPr>
          <w:rFonts w:ascii="宋体" w:hAnsi="宋体" w:eastAsia="宋体"/>
          <w:b w:val="0"/>
          <w:sz w:val="23"/>
        </w:rPr>
        <w:t>ReactBits 背景组件：上游仓库采用 MIT 许可，本作品在移植时完成了 TypeScript 化、设计令牌绑定与降级链封装，并按上游要求保留版权与许可声明；每个组件的来源、许可、依赖与改动点已逐项登记在项目文档中，可按上游仓库地址随时取回原文比对。</w:t>
      </w:r>
    </w:p>
    <w:p>
      <w:pPr>
        <w:spacing w:after="80" w:line="336" w:lineRule="auto"/>
        <w:ind w:left="510" w:hanging="312"/>
      </w:pPr>
      <w:r>
        <w:rPr>
          <w:rFonts w:ascii="宋体" w:hAnsi="宋体" w:eastAsia="宋体"/>
          <w:b w:val="0"/>
          <w:sz w:val="23"/>
        </w:rPr>
        <w:t xml:space="preserve">● </w:t>
      </w:r>
      <w:r>
        <w:rPr>
          <w:rFonts w:ascii="宋体" w:hAnsi="宋体" w:eastAsia="宋体"/>
          <w:b/>
          <w:sz w:val="23"/>
        </w:rPr>
        <w:t xml:space="preserve">④ </w:t>
      </w:r>
      <w:r>
        <w:rPr>
          <w:rFonts w:ascii="宋体" w:hAnsi="宋体" w:eastAsia="宋体"/>
          <w:b w:val="0"/>
          <w:sz w:val="23"/>
        </w:rPr>
        <w:t>原创部分：平台的架构设计、攻击矩阵分类体系、三级裁判流水线、SecScore 评分模型、修复手册内容、全部 YAML 内容资产，以及界面视觉设计，均为本小组原创成果。</w:t>
      </w:r>
    </w:p>
    <w:p>
      <w:pPr>
        <w:pStyle w:val="Heading2"/>
        <w:spacing w:line="336" w:lineRule="auto" w:before="200" w:after="120"/>
      </w:pPr>
      <w:r>
        <w:rPr>
          <w:rFonts w:ascii="黑体" w:hAnsi="黑体" w:eastAsia="黑体"/>
          <w:b/>
          <w:color w:val="222222"/>
          <w:sz w:val="27"/>
        </w:rPr>
        <w:t>（六）测试账号（评审演示用）</w:t>
      </w:r>
    </w:p>
    <w:p>
      <w:pPr>
        <w:spacing w:after="120" w:before="0" w:line="360" w:lineRule="auto"/>
        <w:ind w:firstLine="480"/>
      </w:pPr>
      <w:r>
        <w:rPr>
          <w:rFonts w:ascii="宋体" w:hAnsi="宋体" w:eastAsia="宋体"/>
          <w:b w:val="0"/>
          <w:sz w:val="24"/>
        </w:rPr>
        <w:t>评审时可在登录界面直接使用以下演示账号体验平台。登录界面已预填账号与密码，无需手动输入。</w:t>
      </w:r>
    </w:p>
    <w:tbl>
      <w:tblPr>
        <w:tblStyle w:val="TableGrid"/>
        <w:tblW w:type="auto" w:w="0"/>
        <w:jc w:val="center"/>
        <w:tblLook w:firstColumn="1" w:firstRow="1" w:lastColumn="0" w:lastRow="0" w:noHBand="0" w:noVBand="1" w:val="04A0"/>
      </w:tblPr>
      <w:tblGrid>
        <w:gridCol w:w="4422"/>
        <w:gridCol w:w="4422"/>
      </w:tblGrid>
      <w:tr>
        <w:tc>
          <w:tcPr>
            <w:tcW w:type="dxa" w:w="2476"/>
            <w:shd w:val="clear" w:color="auto" w:fill="DDE5F5"/>
          </w:tcPr>
          <w:p>
            <w:pPr>
              <w:spacing w:before="40" w:after="40" w:line="276" w:lineRule="auto"/>
              <w:jc w:val="center"/>
            </w:pPr>
            <w:r>
              <w:rPr>
                <w:rFonts w:ascii="黑体" w:hAnsi="黑体" w:eastAsia="黑体"/>
                <w:b/>
                <w:sz w:val="21"/>
              </w:rPr>
              <w:t>项目</w:t>
            </w:r>
          </w:p>
        </w:tc>
        <w:tc>
          <w:tcPr>
            <w:tcW w:type="dxa" w:w="6368"/>
            <w:shd w:val="clear" w:color="auto" w:fill="DDE5F5"/>
          </w:tcPr>
          <w:p>
            <w:pPr>
              <w:spacing w:before="40" w:after="40" w:line="276" w:lineRule="auto"/>
              <w:jc w:val="center"/>
            </w:pPr>
            <w:r>
              <w:rPr>
                <w:rFonts w:ascii="黑体" w:hAnsi="黑体" w:eastAsia="黑体"/>
                <w:b/>
                <w:sz w:val="21"/>
              </w:rPr>
              <w:t>内容</w:t>
            </w:r>
          </w:p>
        </w:tc>
      </w:tr>
      <w:tr>
        <w:tc>
          <w:tcPr>
            <w:tcW w:type="dxa" w:w="2476"/>
          </w:tcPr>
          <w:p>
            <w:pPr>
              <w:spacing w:before="40" w:after="40" w:line="276" w:lineRule="auto"/>
              <w:jc w:val="center"/>
            </w:pPr>
            <w:r>
              <w:rPr>
                <w:rFonts w:ascii="宋体" w:hAnsi="宋体" w:eastAsia="宋体"/>
                <w:b w:val="0"/>
                <w:sz w:val="21"/>
              </w:rPr>
              <w:t>访问方式</w:t>
            </w:r>
          </w:p>
        </w:tc>
        <w:tc>
          <w:tcPr>
            <w:tcW w:type="dxa" w:w="6368"/>
          </w:tcPr>
          <w:p>
            <w:pPr>
              <w:spacing w:before="40" w:after="40" w:line="276" w:lineRule="auto"/>
            </w:pPr>
            <w:r>
              <w:rPr>
                <w:rFonts w:ascii="宋体" w:hAnsi="宋体" w:eastAsia="宋体"/>
                <w:b w:val="0"/>
                <w:sz w:val="21"/>
              </w:rPr>
              <w:t>启动后端与前端服务后，浏览器访问前端地址（默认 http://127.0.0.1:5173）</w:t>
            </w:r>
          </w:p>
        </w:tc>
      </w:tr>
      <w:tr>
        <w:tc>
          <w:tcPr>
            <w:tcW w:type="dxa" w:w="2476"/>
          </w:tcPr>
          <w:p>
            <w:pPr>
              <w:spacing w:before="40" w:after="40" w:line="276" w:lineRule="auto"/>
              <w:jc w:val="center"/>
            </w:pPr>
            <w:r>
              <w:rPr>
                <w:rFonts w:ascii="宋体" w:hAnsi="宋体" w:eastAsia="宋体"/>
                <w:b w:val="0"/>
                <w:sz w:val="21"/>
              </w:rPr>
              <w:t>演示账号</w:t>
            </w:r>
          </w:p>
        </w:tc>
        <w:tc>
          <w:tcPr>
            <w:tcW w:type="dxa" w:w="6368"/>
          </w:tcPr>
          <w:p>
            <w:pPr>
              <w:spacing w:before="40" w:after="40" w:line="276" w:lineRule="auto"/>
            </w:pPr>
            <w:r>
              <w:rPr>
                <w:rFonts w:ascii="宋体" w:hAnsi="宋体" w:eastAsia="宋体"/>
                <w:b w:val="0"/>
                <w:sz w:val="21"/>
              </w:rPr>
              <w:t>demo@xian.local</w:t>
            </w:r>
          </w:p>
        </w:tc>
      </w:tr>
      <w:tr>
        <w:tc>
          <w:tcPr>
            <w:tcW w:type="dxa" w:w="2476"/>
          </w:tcPr>
          <w:p>
            <w:pPr>
              <w:spacing w:before="40" w:after="40" w:line="276" w:lineRule="auto"/>
              <w:jc w:val="center"/>
            </w:pPr>
            <w:r>
              <w:rPr>
                <w:rFonts w:ascii="宋体" w:hAnsi="宋体" w:eastAsia="宋体"/>
                <w:b w:val="0"/>
                <w:sz w:val="21"/>
              </w:rPr>
              <w:t>演示密码</w:t>
            </w:r>
          </w:p>
        </w:tc>
        <w:tc>
          <w:tcPr>
            <w:tcW w:type="dxa" w:w="6368"/>
          </w:tcPr>
          <w:p>
            <w:pPr>
              <w:spacing w:before="40" w:after="40" w:line="276" w:lineRule="auto"/>
            </w:pPr>
            <w:r>
              <w:rPr>
                <w:rFonts w:ascii="宋体" w:hAnsi="宋体" w:eastAsia="宋体"/>
                <w:b w:val="0"/>
                <w:sz w:val="21"/>
              </w:rPr>
              <w:t>xian-dev</w:t>
            </w:r>
          </w:p>
        </w:tc>
      </w:tr>
      <w:tr>
        <w:tc>
          <w:tcPr>
            <w:tcW w:type="dxa" w:w="2476"/>
          </w:tcPr>
          <w:p>
            <w:pPr>
              <w:spacing w:before="40" w:after="40" w:line="276" w:lineRule="auto"/>
              <w:jc w:val="center"/>
            </w:pPr>
            <w:r>
              <w:rPr>
                <w:rFonts w:ascii="宋体" w:hAnsi="宋体" w:eastAsia="宋体"/>
                <w:b w:val="0"/>
                <w:sz w:val="21"/>
              </w:rPr>
              <w:t>可选角色</w:t>
            </w:r>
          </w:p>
        </w:tc>
        <w:tc>
          <w:tcPr>
            <w:tcW w:type="dxa" w:w="6368"/>
          </w:tcPr>
          <w:p>
            <w:pPr>
              <w:spacing w:before="40" w:after="40" w:line="276" w:lineRule="auto"/>
            </w:pPr>
            <w:r>
              <w:rPr>
                <w:rFonts w:ascii="宋体" w:hAnsi="宋体" w:eastAsia="宋体"/>
                <w:b w:val="0"/>
                <w:sz w:val="21"/>
              </w:rPr>
              <w:t>红军（red）、蓝军（blue）、管理员（admin）、分析师（analyst）</w:t>
            </w:r>
          </w:p>
        </w:tc>
      </w:tr>
      <w:tr>
        <w:tc>
          <w:tcPr>
            <w:tcW w:type="dxa" w:w="2476"/>
          </w:tcPr>
          <w:p>
            <w:pPr>
              <w:spacing w:before="40" w:after="40" w:line="276" w:lineRule="auto"/>
              <w:jc w:val="center"/>
            </w:pPr>
            <w:r>
              <w:rPr>
                <w:rFonts w:ascii="宋体" w:hAnsi="宋体" w:eastAsia="宋体"/>
                <w:b w:val="0"/>
                <w:sz w:val="21"/>
              </w:rPr>
              <w:t>数据租户</w:t>
            </w:r>
          </w:p>
        </w:tc>
        <w:tc>
          <w:tcPr>
            <w:tcW w:type="dxa" w:w="6368"/>
          </w:tcPr>
          <w:p>
            <w:pPr>
              <w:spacing w:before="40" w:after="40" w:line="276" w:lineRule="auto"/>
            </w:pPr>
            <w:r>
              <w:rPr>
                <w:rFonts w:ascii="宋体" w:hAnsi="宋体" w:eastAsia="宋体"/>
                <w:b w:val="0"/>
                <w:sz w:val="21"/>
              </w:rPr>
              <w:t>00000000-0000-0000-0000-000000000001（演示租户）</w:t>
            </w:r>
          </w:p>
        </w:tc>
      </w:tr>
      <w:tr>
        <w:tc>
          <w:tcPr>
            <w:tcW w:type="dxa" w:w="2476"/>
          </w:tcPr>
          <w:p>
            <w:pPr>
              <w:spacing w:before="40" w:after="40" w:line="276" w:lineRule="auto"/>
              <w:jc w:val="center"/>
            </w:pPr>
            <w:r>
              <w:rPr>
                <w:rFonts w:ascii="宋体" w:hAnsi="宋体" w:eastAsia="宋体"/>
                <w:b w:val="0"/>
                <w:sz w:val="21"/>
              </w:rPr>
              <w:t>账号说明</w:t>
            </w:r>
          </w:p>
        </w:tc>
        <w:tc>
          <w:tcPr>
            <w:tcW w:type="dxa" w:w="6368"/>
          </w:tcPr>
          <w:p>
            <w:pPr>
              <w:spacing w:before="40" w:after="40" w:line="276" w:lineRule="auto"/>
            </w:pPr>
            <w:r>
              <w:rPr>
                <w:rFonts w:ascii="宋体" w:hAnsi="宋体" w:eastAsia="宋体"/>
                <w:b w:val="0"/>
                <w:sz w:val="21"/>
              </w:rPr>
              <w:t>本平台当前处于开发演示态，登录环节不校验密码，任意非空密码均可登录；演练角色由登录界面上的角色选择器直接指定，所填账号仅用于标识本次演练的操作者身份。正式部署时该入口将替换为对接企业统一身份认证（OIDC / LDAP）。</w:t>
            </w:r>
          </w:p>
        </w:tc>
      </w:tr>
    </w:tbl>
    <w:p>
      <w:pPr>
        <w:spacing w:before="60" w:after="200"/>
        <w:jc w:val="center"/>
      </w:pPr>
      <w:r>
        <w:rPr>
          <w:rFonts w:ascii="宋体" w:hAnsi="宋体" w:eastAsia="宋体"/>
          <w:b w:val="0"/>
          <w:color w:val="555555"/>
          <w:sz w:val="21"/>
        </w:rPr>
        <w:t>表 9  评审演示账号</w:t>
      </w:r>
    </w:p>
    <w:p>
      <w:pPr>
        <w:spacing w:after="120" w:before="0" w:line="360" w:lineRule="auto"/>
        <w:ind w:firstLine="480"/>
      </w:pPr>
      <w:r>
        <w:rPr>
          <w:rFonts w:ascii="宋体" w:hAnsi="宋体" w:eastAsia="宋体"/>
          <w:b w:val="0"/>
          <w:sz w:val="24"/>
        </w:rPr>
        <w:t>若演示环境为完全离线状态、后端服务未能启动，前端会自动进入演示模式并写入本地上下文，此时仍可浏览全部页面与交互流程，但不会产生真实的演练数据。</w:t>
      </w:r>
    </w:p>
    <w:p>
      <w:pPr>
        <w:pStyle w:val="Heading1"/>
        <w:spacing w:line="336" w:lineRule="auto" w:before="120" w:after="240"/>
      </w:pPr>
      <w:r>
        <w:rPr>
          <w:rFonts w:ascii="黑体" w:hAnsi="黑体" w:eastAsia="黑体"/>
          <w:b/>
          <w:color w:val="1E40AF"/>
          <w:sz w:val="32"/>
        </w:rPr>
        <w:t>七、操作说明</w:t>
      </w:r>
    </w:p>
    <w:p>
      <w:pPr>
        <w:spacing w:after="120" w:before="0" w:line="360" w:lineRule="auto"/>
        <w:ind w:firstLine="480"/>
      </w:pPr>
      <w:r>
        <w:rPr>
          <w:rFonts w:ascii="宋体" w:hAnsi="宋体" w:eastAsia="宋体"/>
          <w:b w:val="0"/>
          <w:sz w:val="24"/>
        </w:rPr>
        <w:t>本章说明平台的环境准备、启动方式与主要功能的操作步骤。为便于评审与教学环境部署，平台提供统一的跨平台工程入口脚本，以下命令在 Windows PowerShell、Linux 与 macOS 下均可直接执行。</w:t>
      </w:r>
    </w:p>
    <w:p>
      <w:pPr>
        <w:pStyle w:val="Heading2"/>
        <w:spacing w:line="336" w:lineRule="auto" w:before="200" w:after="120"/>
      </w:pPr>
      <w:r>
        <w:rPr>
          <w:rFonts w:ascii="黑体" w:hAnsi="黑体" w:eastAsia="黑体"/>
          <w:b/>
          <w:color w:val="222222"/>
          <w:sz w:val="27"/>
        </w:rPr>
        <w:t>（一）环境准备</w:t>
      </w:r>
    </w:p>
    <w:p>
      <w:pPr>
        <w:spacing w:after="120" w:before="0" w:line="360" w:lineRule="auto"/>
        <w:ind w:firstLine="480"/>
      </w:pPr>
      <w:r>
        <w:rPr>
          <w:rFonts w:ascii="宋体" w:hAnsi="宋体" w:eastAsia="宋体"/>
          <w:b w:val="0"/>
          <w:sz w:val="24"/>
        </w:rPr>
        <w:t>第一步，确认本机已安装 Python 3.12 及以上版本、Node.js 20.19 及以上版本与 pnpm 9 及以上版本。</w:t>
      </w:r>
    </w:p>
    <w:p>
      <w:pPr>
        <w:spacing w:after="120" w:before="0" w:line="360" w:lineRule="auto"/>
        <w:ind w:firstLine="480"/>
      </w:pPr>
      <w:r>
        <w:rPr>
          <w:rFonts w:ascii="宋体" w:hAnsi="宋体" w:eastAsia="宋体"/>
          <w:b w:val="0"/>
          <w:sz w:val="24"/>
        </w:rPr>
        <w:t>第二步，在仓库根目录安装前端依赖：</w:t>
      </w:r>
    </w:p>
    <w:p>
      <w:pPr>
        <w:spacing w:after="160" w:line="288" w:lineRule="auto"/>
        <w:ind w:left="567"/>
      </w:pPr>
      <w:r>
        <w:rPr>
          <w:rFonts w:ascii="Consolas" w:hAnsi="Consolas" w:eastAsia="Consolas"/>
          <w:b w:val="0"/>
          <w:sz w:val="21"/>
        </w:rPr>
        <w:t>cd frontend &amp;&amp; pnpm install</w:t>
      </w:r>
    </w:p>
    <w:p>
      <w:pPr>
        <w:spacing w:after="120" w:before="0" w:line="360" w:lineRule="auto"/>
        <w:ind w:firstLine="480"/>
      </w:pPr>
      <w:r>
        <w:rPr>
          <w:rFonts w:ascii="宋体" w:hAnsi="宋体" w:eastAsia="宋体"/>
          <w:b w:val="0"/>
          <w:sz w:val="24"/>
        </w:rPr>
        <w:t>第三步（可选），如需使用完整存储能力，启动数据面中间件：</w:t>
      </w:r>
    </w:p>
    <w:p>
      <w:pPr>
        <w:spacing w:after="160" w:line="288" w:lineRule="auto"/>
        <w:ind w:left="567"/>
      </w:pPr>
      <w:r>
        <w:rPr>
          <w:rFonts w:ascii="Consolas" w:hAnsi="Consolas" w:eastAsia="Consolas"/>
          <w:b w:val="0"/>
          <w:sz w:val="21"/>
        </w:rPr>
        <w:t>docker compose -f deploy/docker/compose.dev.yml --profile data up -d</w:t>
      </w:r>
    </w:p>
    <w:p>
      <w:pPr>
        <w:spacing w:after="120" w:before="0" w:line="360" w:lineRule="auto"/>
        <w:ind w:firstLine="480"/>
      </w:pPr>
      <w:r>
        <w:rPr>
          <w:rFonts w:ascii="宋体" w:hAnsi="宋体" w:eastAsia="宋体"/>
          <w:b w:val="0"/>
          <w:sz w:val="24"/>
        </w:rPr>
        <w:t>此步骤完全可选。未启动中间件时，平台会自动降级为 SQLite、进程内事件队列与本地文件存储，全部功能仍可正常演示，这也是小组推荐的评审演示方式。</w:t>
      </w:r>
    </w:p>
    <w:p>
      <w:pPr>
        <w:pStyle w:val="Heading2"/>
        <w:spacing w:line="336" w:lineRule="auto" w:before="200" w:after="120"/>
      </w:pPr>
      <w:r>
        <w:rPr>
          <w:rFonts w:ascii="黑体" w:hAnsi="黑体" w:eastAsia="黑体"/>
          <w:b/>
          <w:color w:val="222222"/>
          <w:sz w:val="27"/>
        </w:rPr>
        <w:t>（二）Android 客户端（APK）安装与配置</w:t>
      </w:r>
    </w:p>
    <w:p>
      <w:pPr>
        <w:spacing w:after="120" w:before="0" w:line="360" w:lineRule="auto"/>
        <w:ind w:firstLine="480"/>
      </w:pPr>
      <w:r>
        <w:rPr>
          <w:rFonts w:ascii="宋体" w:hAnsi="宋体" w:eastAsia="宋体"/>
          <w:b w:val="0"/>
          <w:sz w:val="24"/>
        </w:rPr>
        <w:t>除浏览器访问外，本作品还提供 Android 安装包，供移动端评审与演示使用。该安装包为 WebView 容器形式：前端静态资源已完整打包进安装包，安装后无需联网即可打开界面；后端服务地址在应用内配置。</w:t>
      </w:r>
    </w:p>
    <w:tbl>
      <w:tblPr>
        <w:tblStyle w:val="TableGrid"/>
        <w:tblW w:type="auto" w:w="0"/>
        <w:jc w:val="center"/>
        <w:tblLook w:firstColumn="1" w:firstRow="1" w:lastColumn="0" w:lastRow="0" w:noHBand="0" w:noVBand="1" w:val="04A0"/>
      </w:tblPr>
      <w:tblGrid>
        <w:gridCol w:w="2948"/>
        <w:gridCol w:w="2948"/>
        <w:gridCol w:w="2948"/>
      </w:tblGrid>
      <w:tr>
        <w:tc>
          <w:tcPr>
            <w:tcW w:type="dxa" w:w="1769"/>
            <w:shd w:val="clear" w:color="auto" w:fill="DDE5F5"/>
          </w:tcPr>
          <w:p>
            <w:pPr>
              <w:spacing w:before="40" w:after="40" w:line="276" w:lineRule="auto"/>
              <w:jc w:val="center"/>
            </w:pPr>
            <w:r>
              <w:rPr>
                <w:rFonts w:ascii="黑体" w:hAnsi="黑体" w:eastAsia="黑体"/>
                <w:b/>
                <w:sz w:val="21"/>
              </w:rPr>
              <w:t>步骤</w:t>
            </w:r>
          </w:p>
        </w:tc>
        <w:tc>
          <w:tcPr>
            <w:tcW w:type="dxa" w:w="4068"/>
            <w:shd w:val="clear" w:color="auto" w:fill="DDE5F5"/>
          </w:tcPr>
          <w:p>
            <w:pPr>
              <w:spacing w:before="40" w:after="40" w:line="276" w:lineRule="auto"/>
              <w:jc w:val="center"/>
            </w:pPr>
            <w:r>
              <w:rPr>
                <w:rFonts w:ascii="黑体" w:hAnsi="黑体" w:eastAsia="黑体"/>
                <w:b/>
                <w:sz w:val="21"/>
              </w:rPr>
              <w:t>操作</w:t>
            </w:r>
          </w:p>
        </w:tc>
        <w:tc>
          <w:tcPr>
            <w:tcW w:type="dxa" w:w="3007"/>
            <w:shd w:val="clear" w:color="auto" w:fill="DDE5F5"/>
          </w:tcPr>
          <w:p>
            <w:pPr>
              <w:spacing w:before="40" w:after="40" w:line="276" w:lineRule="auto"/>
              <w:jc w:val="center"/>
            </w:pPr>
            <w:r>
              <w:rPr>
                <w:rFonts w:ascii="黑体" w:hAnsi="黑体" w:eastAsia="黑体"/>
                <w:b/>
                <w:sz w:val="21"/>
              </w:rPr>
              <w:t>说明</w:t>
            </w:r>
          </w:p>
        </w:tc>
      </w:tr>
      <w:tr>
        <w:tc>
          <w:tcPr>
            <w:tcW w:type="dxa" w:w="1769"/>
          </w:tcPr>
          <w:p>
            <w:pPr>
              <w:spacing w:before="40" w:after="40" w:line="276" w:lineRule="auto"/>
              <w:jc w:val="center"/>
            </w:pPr>
            <w:r>
              <w:rPr>
                <w:rFonts w:ascii="宋体" w:hAnsi="宋体" w:eastAsia="宋体"/>
                <w:b w:val="0"/>
                <w:sz w:val="21"/>
              </w:rPr>
              <w:t>1</w:t>
            </w:r>
          </w:p>
        </w:tc>
        <w:tc>
          <w:tcPr>
            <w:tcW w:type="dxa" w:w="4068"/>
          </w:tcPr>
          <w:p>
            <w:pPr>
              <w:spacing w:before="40" w:after="40" w:line="276" w:lineRule="auto"/>
            </w:pPr>
            <w:r>
              <w:rPr>
                <w:rFonts w:ascii="宋体" w:hAnsi="宋体" w:eastAsia="宋体"/>
                <w:b w:val="0"/>
                <w:sz w:val="21"/>
              </w:rPr>
              <w:t>安装 APK</w:t>
            </w:r>
          </w:p>
        </w:tc>
        <w:tc>
          <w:tcPr>
            <w:tcW w:type="dxa" w:w="3007"/>
          </w:tcPr>
          <w:p>
            <w:pPr>
              <w:spacing w:before="40" w:after="40" w:line="276" w:lineRule="auto"/>
            </w:pPr>
            <w:r>
              <w:rPr>
                <w:rFonts w:ascii="宋体" w:hAnsi="宋体" w:eastAsia="宋体"/>
                <w:b w:val="0"/>
                <w:sz w:val="21"/>
              </w:rPr>
              <w:t>将 XIAN-v1.0-debug.apk 传输至手机并点击安装；首次安装需在系统设置中允许「安装未知来源应用」</w:t>
            </w:r>
          </w:p>
        </w:tc>
      </w:tr>
      <w:tr>
        <w:tc>
          <w:tcPr>
            <w:tcW w:type="dxa" w:w="1769"/>
          </w:tcPr>
          <w:p>
            <w:pPr>
              <w:spacing w:before="40" w:after="40" w:line="276" w:lineRule="auto"/>
              <w:jc w:val="center"/>
            </w:pPr>
            <w:r>
              <w:rPr>
                <w:rFonts w:ascii="宋体" w:hAnsi="宋体" w:eastAsia="宋体"/>
                <w:b w:val="0"/>
                <w:sz w:val="21"/>
              </w:rPr>
              <w:t>2</w:t>
            </w:r>
          </w:p>
        </w:tc>
        <w:tc>
          <w:tcPr>
            <w:tcW w:type="dxa" w:w="4068"/>
          </w:tcPr>
          <w:p>
            <w:pPr>
              <w:spacing w:before="40" w:after="40" w:line="276" w:lineRule="auto"/>
            </w:pPr>
            <w:r>
              <w:rPr>
                <w:rFonts w:ascii="宋体" w:hAnsi="宋体" w:eastAsia="宋体"/>
                <w:b w:val="0"/>
                <w:sz w:val="21"/>
              </w:rPr>
              <w:t>打开应用</w:t>
            </w:r>
          </w:p>
        </w:tc>
        <w:tc>
          <w:tcPr>
            <w:tcW w:type="dxa" w:w="3007"/>
          </w:tcPr>
          <w:p>
            <w:pPr>
              <w:spacing w:before="40" w:after="40" w:line="276" w:lineRule="auto"/>
            </w:pPr>
            <w:r>
              <w:rPr>
                <w:rFonts w:ascii="宋体" w:hAnsi="宋体" w:eastAsia="宋体"/>
                <w:b w:val="0"/>
                <w:sz w:val="21"/>
              </w:rPr>
              <w:t>桌面图标为 XIAN，启动后直接进入登录界面</w:t>
            </w:r>
          </w:p>
        </w:tc>
      </w:tr>
      <w:tr>
        <w:tc>
          <w:tcPr>
            <w:tcW w:type="dxa" w:w="1769"/>
          </w:tcPr>
          <w:p>
            <w:pPr>
              <w:spacing w:before="40" w:after="40" w:line="276" w:lineRule="auto"/>
              <w:jc w:val="center"/>
            </w:pPr>
            <w:r>
              <w:rPr>
                <w:rFonts w:ascii="宋体" w:hAnsi="宋体" w:eastAsia="宋体"/>
                <w:b w:val="0"/>
                <w:sz w:val="21"/>
              </w:rPr>
              <w:t>3</w:t>
            </w:r>
          </w:p>
        </w:tc>
        <w:tc>
          <w:tcPr>
            <w:tcW w:type="dxa" w:w="4068"/>
          </w:tcPr>
          <w:p>
            <w:pPr>
              <w:spacing w:before="40" w:after="40" w:line="276" w:lineRule="auto"/>
            </w:pPr>
            <w:r>
              <w:rPr>
                <w:rFonts w:ascii="宋体" w:hAnsi="宋体" w:eastAsia="宋体"/>
                <w:b w:val="0"/>
                <w:sz w:val="21"/>
              </w:rPr>
              <w:t>配置后端</w:t>
            </w:r>
          </w:p>
        </w:tc>
        <w:tc>
          <w:tcPr>
            <w:tcW w:type="dxa" w:w="3007"/>
          </w:tcPr>
          <w:p>
            <w:pPr>
              <w:spacing w:before="40" w:after="40" w:line="276" w:lineRule="auto"/>
            </w:pPr>
            <w:r>
              <w:rPr>
                <w:rFonts w:ascii="宋体" w:hAnsi="宋体" w:eastAsia="宋体"/>
                <w:b w:val="0"/>
                <w:sz w:val="21"/>
              </w:rPr>
              <w:t>点击登录页底部「服务器设置」，填写后端地址（例如 http://192.168.1.5:8000），点击「测试连接」确认可达后保存</w:t>
            </w:r>
          </w:p>
        </w:tc>
      </w:tr>
      <w:tr>
        <w:tc>
          <w:tcPr>
            <w:tcW w:type="dxa" w:w="1769"/>
          </w:tcPr>
          <w:p>
            <w:pPr>
              <w:spacing w:before="40" w:after="40" w:line="276" w:lineRule="auto"/>
              <w:jc w:val="center"/>
            </w:pPr>
            <w:r>
              <w:rPr>
                <w:rFonts w:ascii="宋体" w:hAnsi="宋体" w:eastAsia="宋体"/>
                <w:b w:val="0"/>
                <w:sz w:val="21"/>
              </w:rPr>
              <w:t>4</w:t>
            </w:r>
          </w:p>
        </w:tc>
        <w:tc>
          <w:tcPr>
            <w:tcW w:type="dxa" w:w="4068"/>
          </w:tcPr>
          <w:p>
            <w:pPr>
              <w:spacing w:before="40" w:after="40" w:line="276" w:lineRule="auto"/>
            </w:pPr>
            <w:r>
              <w:rPr>
                <w:rFonts w:ascii="宋体" w:hAnsi="宋体" w:eastAsia="宋体"/>
                <w:b w:val="0"/>
                <w:sz w:val="21"/>
              </w:rPr>
              <w:t>登录使用</w:t>
            </w:r>
          </w:p>
        </w:tc>
        <w:tc>
          <w:tcPr>
            <w:tcW w:type="dxa" w:w="3007"/>
          </w:tcPr>
          <w:p>
            <w:pPr>
              <w:spacing w:before="40" w:after="40" w:line="276" w:lineRule="auto"/>
            </w:pPr>
            <w:r>
              <w:rPr>
                <w:rFonts w:ascii="宋体" w:hAnsi="宋体" w:eastAsia="宋体"/>
                <w:b w:val="0"/>
                <w:sz w:val="21"/>
              </w:rPr>
              <w:t>使用演示账号登录，后续操作与浏览器端完全一致</w:t>
            </w:r>
          </w:p>
        </w:tc>
      </w:tr>
      <w:tr>
        <w:tc>
          <w:tcPr>
            <w:tcW w:type="dxa" w:w="1769"/>
          </w:tcPr>
          <w:p>
            <w:pPr>
              <w:spacing w:before="40" w:after="40" w:line="276" w:lineRule="auto"/>
              <w:jc w:val="center"/>
            </w:pPr>
            <w:r>
              <w:rPr>
                <w:rFonts w:ascii="宋体" w:hAnsi="宋体" w:eastAsia="宋体"/>
                <w:b w:val="0"/>
                <w:sz w:val="21"/>
              </w:rPr>
              <w:t>5</w:t>
            </w:r>
          </w:p>
        </w:tc>
        <w:tc>
          <w:tcPr>
            <w:tcW w:type="dxa" w:w="4068"/>
          </w:tcPr>
          <w:p>
            <w:pPr>
              <w:spacing w:before="40" w:after="40" w:line="276" w:lineRule="auto"/>
            </w:pPr>
            <w:r>
              <w:rPr>
                <w:rFonts w:ascii="宋体" w:hAnsi="宋体" w:eastAsia="宋体"/>
                <w:b w:val="0"/>
                <w:sz w:val="21"/>
              </w:rPr>
              <w:t>后端放通</w:t>
            </w:r>
          </w:p>
        </w:tc>
        <w:tc>
          <w:tcPr>
            <w:tcW w:type="dxa" w:w="3007"/>
          </w:tcPr>
          <w:p>
            <w:pPr>
              <w:spacing w:before="40" w:after="40" w:line="276" w:lineRule="auto"/>
            </w:pPr>
            <w:r>
              <w:rPr>
                <w:rFonts w:ascii="宋体" w:hAnsi="宋体" w:eastAsia="宋体"/>
                <w:b w:val="0"/>
                <w:sz w:val="21"/>
              </w:rPr>
              <w:t>后端需以 --host 0.0.0.0 启动，且手机与后端主机处于同一局域网</w:t>
            </w:r>
          </w:p>
        </w:tc>
      </w:tr>
    </w:tbl>
    <w:p>
      <w:pPr>
        <w:spacing w:before="60" w:after="200"/>
        <w:jc w:val="center"/>
      </w:pPr>
      <w:r>
        <w:rPr>
          <w:rFonts w:ascii="宋体" w:hAnsi="宋体" w:eastAsia="宋体"/>
          <w:b w:val="0"/>
          <w:color w:val="555555"/>
          <w:sz w:val="21"/>
        </w:rPr>
        <w:t>表 10  Android 客户端安装与配置</w:t>
      </w:r>
    </w:p>
    <w:p>
      <w:pPr>
        <w:spacing w:after="120" w:before="0" w:line="360" w:lineRule="auto"/>
        <w:ind w:firstLine="480"/>
      </w:pPr>
      <w:r>
        <w:rPr>
          <w:rFonts w:ascii="宋体" w:hAnsi="宋体" w:eastAsia="宋体"/>
          <w:b w:val="0"/>
          <w:sz w:val="24"/>
        </w:rPr>
        <w:t>关于安装包的说明：其一，安装包内的前端与浏览器端为同一份构建产物，功能与交互完全一致，不存在两套实现；其二，后端地址保存在手机本地，更换网络或后端地址时只需重新填写，无需重新安装；其三，安装包为开发调试签名，仅用于评审与内部演示，正式对外分发前需替换为正式签名并配置 HTTPS 后端；其四，若尚未配置后端地址，应用仍可打开并浏览全部界面，此时进入演示模式，不产生真实演练数据。</w:t>
      </w:r>
    </w:p>
    <w:p>
      <w:pPr>
        <w:spacing w:after="120" w:before="0" w:line="360" w:lineRule="auto"/>
        <w:ind w:firstLine="480"/>
      </w:pPr>
      <w:r>
        <w:rPr>
          <w:rFonts w:ascii="宋体" w:hAnsi="宋体" w:eastAsia="宋体"/>
          <w:b w:val="0"/>
          <w:sz w:val="24"/>
        </w:rPr>
        <w:t>构建方式（供复现）：在 frontend 目录执行 pnpm --filter @xian/web build 生成前端产物，再进入 apps/web/android 目录执行 gradlew assembleDebug，产物位于 app/build/outputs/apk/debug/。Android 工程由 Capacitor 生成，应用标识为 com.xian.redblue。</w:t>
      </w:r>
    </w:p>
    <w:p>
      <w:pPr>
        <w:pStyle w:val="Heading2"/>
        <w:spacing w:line="336" w:lineRule="auto" w:before="200" w:after="120"/>
      </w:pPr>
      <w:r>
        <w:rPr>
          <w:rFonts w:ascii="黑体" w:hAnsi="黑体" w:eastAsia="黑体"/>
          <w:b/>
          <w:color w:val="222222"/>
          <w:sz w:val="27"/>
        </w:rPr>
        <w:t>（三）启动服务</w:t>
      </w:r>
    </w:p>
    <w:tbl>
      <w:tblPr>
        <w:tblStyle w:val="TableGrid"/>
        <w:tblW w:type="auto" w:w="0"/>
        <w:jc w:val="center"/>
        <w:tblLook w:firstColumn="1" w:firstRow="1" w:lastColumn="0" w:lastRow="0" w:noHBand="0" w:noVBand="1" w:val="04A0"/>
      </w:tblPr>
      <w:tblGrid>
        <w:gridCol w:w="2948"/>
        <w:gridCol w:w="2948"/>
        <w:gridCol w:w="2948"/>
      </w:tblGrid>
      <w:tr>
        <w:tc>
          <w:tcPr>
            <w:tcW w:type="dxa" w:w="1769"/>
            <w:shd w:val="clear" w:color="auto" w:fill="DDE5F5"/>
          </w:tcPr>
          <w:p>
            <w:pPr>
              <w:spacing w:before="40" w:after="40" w:line="276" w:lineRule="auto"/>
              <w:jc w:val="center"/>
            </w:pPr>
            <w:r>
              <w:rPr>
                <w:rFonts w:ascii="黑体" w:hAnsi="黑体" w:eastAsia="黑体"/>
                <w:b/>
                <w:sz w:val="21"/>
              </w:rPr>
              <w:t>步骤</w:t>
            </w:r>
          </w:p>
        </w:tc>
        <w:tc>
          <w:tcPr>
            <w:tcW w:type="dxa" w:w="4068"/>
            <w:shd w:val="clear" w:color="auto" w:fill="DDE5F5"/>
          </w:tcPr>
          <w:p>
            <w:pPr>
              <w:spacing w:before="40" w:after="40" w:line="276" w:lineRule="auto"/>
              <w:jc w:val="center"/>
            </w:pPr>
            <w:r>
              <w:rPr>
                <w:rFonts w:ascii="黑体" w:hAnsi="黑体" w:eastAsia="黑体"/>
                <w:b/>
                <w:sz w:val="21"/>
              </w:rPr>
              <w:t>操作</w:t>
            </w:r>
          </w:p>
        </w:tc>
        <w:tc>
          <w:tcPr>
            <w:tcW w:type="dxa" w:w="3007"/>
            <w:shd w:val="clear" w:color="auto" w:fill="DDE5F5"/>
          </w:tcPr>
          <w:p>
            <w:pPr>
              <w:spacing w:before="40" w:after="40" w:line="276" w:lineRule="auto"/>
              <w:jc w:val="center"/>
            </w:pPr>
            <w:r>
              <w:rPr>
                <w:rFonts w:ascii="黑体" w:hAnsi="黑体" w:eastAsia="黑体"/>
                <w:b/>
                <w:sz w:val="21"/>
              </w:rPr>
              <w:t>说明</w:t>
            </w:r>
          </w:p>
        </w:tc>
      </w:tr>
      <w:tr>
        <w:tc>
          <w:tcPr>
            <w:tcW w:type="dxa" w:w="1769"/>
          </w:tcPr>
          <w:p>
            <w:pPr>
              <w:spacing w:before="40" w:after="40" w:line="276" w:lineRule="auto"/>
              <w:jc w:val="center"/>
            </w:pPr>
            <w:r>
              <w:rPr>
                <w:rFonts w:ascii="宋体" w:hAnsi="宋体" w:eastAsia="宋体"/>
                <w:b w:val="0"/>
                <w:sz w:val="21"/>
              </w:rPr>
              <w:t>1</w:t>
            </w:r>
          </w:p>
        </w:tc>
        <w:tc>
          <w:tcPr>
            <w:tcW w:type="dxa" w:w="4068"/>
          </w:tcPr>
          <w:p>
            <w:pPr>
              <w:spacing w:before="40" w:after="40" w:line="276" w:lineRule="auto"/>
            </w:pPr>
            <w:r>
              <w:rPr>
                <w:rFonts w:ascii="宋体" w:hAnsi="宋体" w:eastAsia="宋体"/>
                <w:b w:val="0"/>
                <w:sz w:val="21"/>
              </w:rPr>
              <w:t>python scripts/xian.py seed</w:t>
            </w:r>
          </w:p>
        </w:tc>
        <w:tc>
          <w:tcPr>
            <w:tcW w:type="dxa" w:w="3007"/>
          </w:tcPr>
          <w:p>
            <w:pPr>
              <w:spacing w:before="40" w:after="40" w:line="276" w:lineRule="auto"/>
            </w:pPr>
            <w:r>
              <w:rPr>
                <w:rFonts w:ascii="宋体" w:hAnsi="宋体" w:eastAsia="宋体"/>
                <w:b w:val="0"/>
                <w:sz w:val="21"/>
              </w:rPr>
              <w:t>导入种子内容资产：14 类攻击用例、场景模板、攻击矩阵、十关教案与修复手册</w:t>
            </w:r>
          </w:p>
        </w:tc>
      </w:tr>
      <w:tr>
        <w:tc>
          <w:tcPr>
            <w:tcW w:type="dxa" w:w="1769"/>
          </w:tcPr>
          <w:p>
            <w:pPr>
              <w:spacing w:before="40" w:after="40" w:line="276" w:lineRule="auto"/>
              <w:jc w:val="center"/>
            </w:pPr>
            <w:r>
              <w:rPr>
                <w:rFonts w:ascii="宋体" w:hAnsi="宋体" w:eastAsia="宋体"/>
                <w:b w:val="0"/>
                <w:sz w:val="21"/>
              </w:rPr>
              <w:t>2</w:t>
            </w:r>
          </w:p>
        </w:tc>
        <w:tc>
          <w:tcPr>
            <w:tcW w:type="dxa" w:w="4068"/>
          </w:tcPr>
          <w:p>
            <w:pPr>
              <w:spacing w:before="40" w:after="40" w:line="276" w:lineRule="auto"/>
            </w:pPr>
            <w:r>
              <w:rPr>
                <w:rFonts w:ascii="宋体" w:hAnsi="宋体" w:eastAsia="宋体"/>
                <w:b w:val="0"/>
                <w:sz w:val="21"/>
              </w:rPr>
              <w:t>python scripts/xian.py api</w:t>
            </w:r>
          </w:p>
        </w:tc>
        <w:tc>
          <w:tcPr>
            <w:tcW w:type="dxa" w:w="3007"/>
          </w:tcPr>
          <w:p>
            <w:pPr>
              <w:spacing w:before="40" w:after="40" w:line="276" w:lineRule="auto"/>
            </w:pPr>
            <w:r>
              <w:rPr>
                <w:rFonts w:ascii="宋体" w:hAnsi="宋体" w:eastAsia="宋体"/>
                <w:b w:val="0"/>
                <w:sz w:val="21"/>
              </w:rPr>
              <w:t>启动后端服务，监听 127.0.0.1:8000；交互式接口文档位于 /docs</w:t>
            </w:r>
          </w:p>
        </w:tc>
      </w:tr>
      <w:tr>
        <w:tc>
          <w:tcPr>
            <w:tcW w:type="dxa" w:w="1769"/>
          </w:tcPr>
          <w:p>
            <w:pPr>
              <w:spacing w:before="40" w:after="40" w:line="276" w:lineRule="auto"/>
              <w:jc w:val="center"/>
            </w:pPr>
            <w:r>
              <w:rPr>
                <w:rFonts w:ascii="宋体" w:hAnsi="宋体" w:eastAsia="宋体"/>
                <w:b w:val="0"/>
                <w:sz w:val="21"/>
              </w:rPr>
              <w:t>3</w:t>
            </w:r>
          </w:p>
        </w:tc>
        <w:tc>
          <w:tcPr>
            <w:tcW w:type="dxa" w:w="4068"/>
          </w:tcPr>
          <w:p>
            <w:pPr>
              <w:spacing w:before="40" w:after="40" w:line="276" w:lineRule="auto"/>
            </w:pPr>
            <w:r>
              <w:rPr>
                <w:rFonts w:ascii="宋体" w:hAnsi="宋体" w:eastAsia="宋体"/>
                <w:b w:val="0"/>
                <w:sz w:val="21"/>
              </w:rPr>
              <w:t>python scripts/xian.py web</w:t>
            </w:r>
          </w:p>
        </w:tc>
        <w:tc>
          <w:tcPr>
            <w:tcW w:type="dxa" w:w="3007"/>
          </w:tcPr>
          <w:p>
            <w:pPr>
              <w:spacing w:before="40" w:after="40" w:line="276" w:lineRule="auto"/>
            </w:pPr>
            <w:r>
              <w:rPr>
                <w:rFonts w:ascii="宋体" w:hAnsi="宋体" w:eastAsia="宋体"/>
                <w:b w:val="0"/>
                <w:sz w:val="21"/>
              </w:rPr>
              <w:t>启动前端开发服务器，监听 127.0.0.1:5173</w:t>
            </w:r>
          </w:p>
        </w:tc>
      </w:tr>
      <w:tr>
        <w:tc>
          <w:tcPr>
            <w:tcW w:type="dxa" w:w="1769"/>
          </w:tcPr>
          <w:p>
            <w:pPr>
              <w:spacing w:before="40" w:after="40" w:line="276" w:lineRule="auto"/>
              <w:jc w:val="center"/>
            </w:pPr>
            <w:r>
              <w:rPr>
                <w:rFonts w:ascii="宋体" w:hAnsi="宋体" w:eastAsia="宋体"/>
                <w:b w:val="0"/>
                <w:sz w:val="21"/>
              </w:rPr>
              <w:t>4</w:t>
            </w:r>
          </w:p>
        </w:tc>
        <w:tc>
          <w:tcPr>
            <w:tcW w:type="dxa" w:w="4068"/>
          </w:tcPr>
          <w:p>
            <w:pPr>
              <w:spacing w:before="40" w:after="40" w:line="276" w:lineRule="auto"/>
            </w:pPr>
            <w:r>
              <w:rPr>
                <w:rFonts w:ascii="宋体" w:hAnsi="宋体" w:eastAsia="宋体"/>
                <w:b w:val="0"/>
                <w:sz w:val="21"/>
              </w:rPr>
              <w:t>浏览器访问前端地址</w:t>
            </w:r>
          </w:p>
        </w:tc>
        <w:tc>
          <w:tcPr>
            <w:tcW w:type="dxa" w:w="3007"/>
          </w:tcPr>
          <w:p>
            <w:pPr>
              <w:spacing w:before="40" w:after="40" w:line="276" w:lineRule="auto"/>
            </w:pPr>
            <w:r>
              <w:rPr>
                <w:rFonts w:ascii="宋体" w:hAnsi="宋体" w:eastAsia="宋体"/>
                <w:b w:val="0"/>
                <w:sz w:val="21"/>
              </w:rPr>
              <w:t>打开登录界面，使用演示账号登录</w:t>
            </w:r>
          </w:p>
        </w:tc>
      </w:tr>
      <w:tr>
        <w:tc>
          <w:tcPr>
            <w:tcW w:type="dxa" w:w="1769"/>
          </w:tcPr>
          <w:p>
            <w:pPr>
              <w:spacing w:before="40" w:after="40" w:line="276" w:lineRule="auto"/>
              <w:jc w:val="center"/>
            </w:pPr>
            <w:r>
              <w:rPr>
                <w:rFonts w:ascii="宋体" w:hAnsi="宋体" w:eastAsia="宋体"/>
                <w:b w:val="0"/>
                <w:sz w:val="21"/>
              </w:rPr>
              <w:t>5</w:t>
            </w:r>
          </w:p>
        </w:tc>
        <w:tc>
          <w:tcPr>
            <w:tcW w:type="dxa" w:w="4068"/>
          </w:tcPr>
          <w:p>
            <w:pPr>
              <w:spacing w:before="40" w:after="40" w:line="276" w:lineRule="auto"/>
            </w:pPr>
            <w:r>
              <w:rPr>
                <w:rFonts w:ascii="宋体" w:hAnsi="宋体" w:eastAsia="宋体"/>
                <w:b w:val="0"/>
                <w:sz w:val="21"/>
              </w:rPr>
              <w:t>python scripts/xian.py smoke</w:t>
            </w:r>
          </w:p>
        </w:tc>
        <w:tc>
          <w:tcPr>
            <w:tcW w:type="dxa" w:w="3007"/>
          </w:tcPr>
          <w:p>
            <w:pPr>
              <w:spacing w:before="40" w:after="40" w:line="276" w:lineRule="auto"/>
            </w:pPr>
            <w:r>
              <w:rPr>
                <w:rFonts w:ascii="宋体" w:hAnsi="宋体" w:eastAsia="宋体"/>
                <w:b w:val="0"/>
                <w:sz w:val="21"/>
              </w:rPr>
              <w:t>（可选）一键自检：单元测试 → 种子导入 → 命令行 → 接口冒烟 → 前端检查 → 门禁</w:t>
            </w:r>
          </w:p>
        </w:tc>
      </w:tr>
    </w:tbl>
    <w:p>
      <w:pPr>
        <w:spacing w:before="60" w:after="200"/>
        <w:jc w:val="center"/>
      </w:pPr>
      <w:r>
        <w:rPr>
          <w:rFonts w:ascii="宋体" w:hAnsi="宋体" w:eastAsia="宋体"/>
          <w:b w:val="0"/>
          <w:color w:val="555555"/>
          <w:sz w:val="21"/>
        </w:rPr>
        <w:t>表 11  启动步骤</w:t>
      </w:r>
    </w:p>
    <w:p>
      <w:pPr>
        <w:spacing w:after="120" w:before="0" w:line="360" w:lineRule="auto"/>
        <w:ind w:firstLine="480"/>
      </w:pPr>
      <w:r>
        <w:rPr>
          <w:rFonts w:ascii="宋体" w:hAnsi="宋体" w:eastAsia="宋体"/>
          <w:b w:val="0"/>
          <w:sz w:val="24"/>
        </w:rPr>
        <w:t>执行 python scripts/xian.py 不带参数可打印全部可用子命令及其说明。</w:t>
      </w:r>
    </w:p>
    <w:p>
      <w:pPr>
        <w:pStyle w:val="Heading2"/>
        <w:spacing w:line="336" w:lineRule="auto" w:before="200" w:after="120"/>
      </w:pPr>
      <w:r>
        <w:rPr>
          <w:rFonts w:ascii="黑体" w:hAnsi="黑体" w:eastAsia="黑体"/>
          <w:b/>
          <w:color w:val="222222"/>
          <w:sz w:val="27"/>
        </w:rPr>
        <w:t>（四）模式一操作流程：系统自动攻击</w:t>
      </w:r>
    </w:p>
    <w:p>
      <w:pPr>
        <w:pStyle w:val="Heading3"/>
        <w:spacing w:line="336" w:lineRule="auto" w:before="160" w:after="80"/>
      </w:pPr>
      <w:r>
        <w:rPr>
          <w:rFonts w:ascii="黑体" w:hAnsi="黑体" w:eastAsia="黑体"/>
          <w:b/>
          <w:color w:val="333333"/>
          <w:sz w:val="24"/>
        </w:rPr>
        <w:t>第 1 步：接入被测 Agent</w:t>
      </w:r>
    </w:p>
    <w:p>
      <w:pPr>
        <w:spacing w:after="120" w:before="0" w:line="360" w:lineRule="auto"/>
        <w:ind w:firstLine="480"/>
      </w:pPr>
      <w:r>
        <w:rPr>
          <w:rFonts w:ascii="宋体" w:hAnsi="宋体" w:eastAsia="宋体"/>
          <w:b w:val="0"/>
          <w:sz w:val="24"/>
        </w:rPr>
        <w:t>登录后进入“Agent 资产”页面，点击新建，填写 Agent 名称并选择接入方式（HTTP 端点 / SDK / 容器镜像），填入端点地址后保存。保存成功后可在列表中看到该 Agent，状态为“待校验”。</w:t>
      </w:r>
    </w:p>
    <w:p>
      <w:pPr>
        <w:pStyle w:val="Heading3"/>
        <w:spacing w:line="336" w:lineRule="auto" w:before="160" w:after="80"/>
      </w:pPr>
      <w:r>
        <w:rPr>
          <w:rFonts w:ascii="黑体" w:hAnsi="黑体" w:eastAsia="黑体"/>
          <w:b/>
          <w:color w:val="333333"/>
          <w:sz w:val="24"/>
        </w:rPr>
        <w:t>第 2 步：完成归属校验</w:t>
      </w:r>
    </w:p>
    <w:p>
      <w:pPr>
        <w:spacing w:after="120" w:before="0" w:line="360" w:lineRule="auto"/>
        <w:ind w:firstLine="480"/>
      </w:pPr>
      <w:r>
        <w:rPr>
          <w:rFonts w:ascii="宋体" w:hAnsi="宋体" w:eastAsia="宋体"/>
          <w:b w:val="0"/>
          <w:sz w:val="24"/>
        </w:rPr>
        <w:t>在 Agent 详情页点击“归属校验”，选择校验方式：DNS TXT 方式需在目标域名下添加指定内容的 TXT 记录；镜像摘要方式需提供镜像摘要进行比对。校验通过后 Agent 状态变为“已校验”。</w:t>
      </w:r>
    </w:p>
    <w:p>
      <w:pPr>
        <w:spacing w:after="120" w:before="0" w:line="360" w:lineRule="auto"/>
        <w:ind w:firstLine="480"/>
      </w:pPr>
      <w:r>
        <w:rPr>
          <w:rFonts w:ascii="宋体" w:hAnsi="宋体" w:eastAsia="宋体"/>
          <w:b w:val="0"/>
          <w:sz w:val="24"/>
        </w:rPr>
        <w:t>注意：未完成归属校验的 Agent 无法作为模式一的攻击目标，创建战役时会被拒绝并提示原因。这是平台的强制授权约束，用于确保演练仅针对自有资产执行。</w:t>
      </w:r>
    </w:p>
    <w:p>
      <w:pPr>
        <w:pStyle w:val="Heading3"/>
        <w:spacing w:line="336" w:lineRule="auto" w:before="160" w:after="80"/>
      </w:pPr>
      <w:r>
        <w:rPr>
          <w:rFonts w:ascii="黑体" w:hAnsi="黑体" w:eastAsia="黑体"/>
          <w:b/>
          <w:color w:val="333333"/>
          <w:sz w:val="24"/>
        </w:rPr>
        <w:t>第 3 步：连通性与侦察</w:t>
      </w:r>
    </w:p>
    <w:p>
      <w:pPr>
        <w:spacing w:after="120" w:before="0" w:line="360" w:lineRule="auto"/>
        <w:ind w:firstLine="480"/>
      </w:pPr>
      <w:r>
        <w:rPr>
          <w:rFonts w:ascii="宋体" w:hAnsi="宋体" w:eastAsia="宋体"/>
          <w:b w:val="0"/>
          <w:sz w:val="24"/>
        </w:rPr>
        <w:t>点击“连通性探测”确认目标可达；随后点击“执行侦察”，平台会发起一组无害探测，识别目标的工具集合、拒答边界与模型指纹，并生成目标画像。侦察结果将影响后续策略的自动选择。</w:t>
      </w:r>
    </w:p>
    <w:p>
      <w:pPr>
        <w:pStyle w:val="Heading3"/>
        <w:spacing w:line="336" w:lineRule="auto" w:before="160" w:after="80"/>
      </w:pPr>
      <w:r>
        <w:rPr>
          <w:rFonts w:ascii="黑体" w:hAnsi="黑体" w:eastAsia="黑体"/>
          <w:b/>
          <w:color w:val="333333"/>
          <w:sz w:val="24"/>
        </w:rPr>
        <w:t>第 4 步：创建并执行战役</w:t>
      </w:r>
    </w:p>
    <w:p>
      <w:pPr>
        <w:spacing w:after="120" w:before="0" w:line="360" w:lineRule="auto"/>
        <w:ind w:firstLine="480"/>
      </w:pPr>
      <w:r>
        <w:rPr>
          <w:rFonts w:ascii="宋体" w:hAnsi="宋体" w:eastAsia="宋体"/>
          <w:b w:val="0"/>
          <w:sz w:val="24"/>
        </w:rPr>
        <w:t>进入“战役”页面点击新建，按三步向导配置：① 选择目标 Agent 与场景；② 勾选攻击范围（可按 14 类矩阵勾选）；③ 设置预算上限与并发度。保存后点击“执行”。</w:t>
      </w:r>
    </w:p>
    <w:p>
      <w:pPr>
        <w:spacing w:after="120" w:before="0" w:line="360" w:lineRule="auto"/>
        <w:ind w:firstLine="480"/>
      </w:pPr>
      <w:r>
        <w:rPr>
          <w:rFonts w:ascii="宋体" w:hAnsi="宋体" w:eastAsia="宋体"/>
          <w:b w:val="0"/>
          <w:sz w:val="24"/>
        </w:rPr>
        <w:t>执行过程中，战役详情页会实时展示攻击进度：当前所处阶段、正在执行的策略、已产生的发现数量、预算消耗比例。平台在预算达到阈值时自动熔断，在连续失败时自动轮换攻击手法，在无新进展时自动收敛结束，均会在事件流中给出说明。</w:t>
      </w:r>
    </w:p>
    <w:p>
      <w:pPr>
        <w:pStyle w:val="Heading3"/>
        <w:spacing w:line="336" w:lineRule="auto" w:before="160" w:after="80"/>
      </w:pPr>
      <w:r>
        <w:rPr>
          <w:rFonts w:ascii="黑体" w:hAnsi="黑体" w:eastAsia="黑体"/>
          <w:b/>
          <w:color w:val="333333"/>
          <w:sz w:val="24"/>
        </w:rPr>
        <w:t>第 5 步：查看判定与报告</w:t>
      </w:r>
    </w:p>
    <w:p>
      <w:pPr>
        <w:spacing w:after="120" w:before="0" w:line="360" w:lineRule="auto"/>
        <w:ind w:firstLine="480"/>
      </w:pPr>
      <w:r>
        <w:rPr>
          <w:rFonts w:ascii="宋体" w:hAnsi="宋体" w:eastAsia="宋体"/>
          <w:b w:val="0"/>
          <w:sz w:val="24"/>
        </w:rPr>
        <w:t>战役结束后进入“报告中心”查看结果。报告包含九个章节：执行摘要、目标与范围、方法与矩阵、发现与证据、风险评级、根因分析、修复建议、复测验证、合规映射。每条发现都可以下钻查看触发它的原始 trace 与裁判流水，确认判定依据。报告支持导出 HTML、PDF 与 JSON 三种格式。</w:t>
      </w:r>
    </w:p>
    <w:p>
      <w:pPr>
        <w:pStyle w:val="Heading3"/>
        <w:spacing w:line="336" w:lineRule="auto" w:before="160" w:after="80"/>
      </w:pPr>
      <w:r>
        <w:rPr>
          <w:rFonts w:ascii="黑体" w:hAnsi="黑体" w:eastAsia="黑体"/>
          <w:b/>
          <w:color w:val="333333"/>
          <w:sz w:val="24"/>
        </w:rPr>
        <w:t>第 6 步：应用修复并复测</w:t>
      </w:r>
    </w:p>
    <w:p>
      <w:pPr>
        <w:spacing w:after="120" w:before="0" w:line="360" w:lineRule="auto"/>
        <w:ind w:firstLine="480"/>
      </w:pPr>
      <w:r>
        <w:rPr>
          <w:rFonts w:ascii="宋体" w:hAnsi="宋体" w:eastAsia="宋体"/>
          <w:b w:val="0"/>
          <w:sz w:val="24"/>
        </w:rPr>
        <w:t>在报告的“修复建议”章节中，每条发现都附有根因定位与可执行的修复产物（提示词改写差异、防护规则或代码片段）。在目标 Agent 上应用修复后，回到该条发现点击“复测”，平台会重新执行同一条攻击并展示修复前后的判定结果与分数变化，据此判断修复是否真正生效。</w:t>
      </w:r>
    </w:p>
    <w:p>
      <w:pPr>
        <w:pStyle w:val="Heading2"/>
        <w:spacing w:line="336" w:lineRule="auto" w:before="200" w:after="120"/>
      </w:pPr>
      <w:r>
        <w:rPr>
          <w:rFonts w:ascii="黑体" w:hAnsi="黑体" w:eastAsia="黑体"/>
          <w:b/>
          <w:color w:val="222222"/>
          <w:sz w:val="27"/>
        </w:rPr>
        <w:t>（五）模式二操作流程：手动攻击沙盘</w:t>
      </w:r>
    </w:p>
    <w:p>
      <w:pPr>
        <w:pStyle w:val="Heading3"/>
        <w:spacing w:line="336" w:lineRule="auto" w:before="160" w:after="80"/>
      </w:pPr>
      <w:r>
        <w:rPr>
          <w:rFonts w:ascii="黑体" w:hAnsi="黑体" w:eastAsia="黑体"/>
          <w:b/>
          <w:color w:val="333333"/>
          <w:sz w:val="24"/>
        </w:rPr>
        <w:t>第 1 步：进入关卡地图</w:t>
      </w:r>
    </w:p>
    <w:p>
      <w:pPr>
        <w:spacing w:after="120" w:before="0" w:line="360" w:lineRule="auto"/>
        <w:ind w:firstLine="480"/>
      </w:pPr>
      <w:r>
        <w:rPr>
          <w:rFonts w:ascii="宋体" w:hAnsi="宋体" w:eastAsia="宋体"/>
          <w:b w:val="0"/>
          <w:sz w:val="24"/>
        </w:rPr>
        <w:t>登录时选择“红军”角色，进入“关卡”页面，可以看到十关递进的关卡地图及其通关状态。</w:t>
      </w:r>
    </w:p>
    <w:p>
      <w:pPr>
        <w:pStyle w:val="Heading3"/>
        <w:spacing w:line="336" w:lineRule="auto" w:before="160" w:after="80"/>
      </w:pPr>
      <w:r>
        <w:rPr>
          <w:rFonts w:ascii="黑体" w:hAnsi="黑体" w:eastAsia="黑体"/>
          <w:b/>
          <w:color w:val="333333"/>
          <w:sz w:val="24"/>
        </w:rPr>
        <w:t>第 2 步：开始挑战与使用提示</w:t>
      </w:r>
    </w:p>
    <w:p>
      <w:pPr>
        <w:spacing w:after="120" w:before="0" w:line="360" w:lineRule="auto"/>
        <w:ind w:firstLine="480"/>
      </w:pPr>
      <w:r>
        <w:rPr>
          <w:rFonts w:ascii="宋体" w:hAnsi="宋体" w:eastAsia="宋体"/>
          <w:b w:val="0"/>
          <w:sz w:val="24"/>
        </w:rPr>
        <w:t>点击某一关进入攻击控制台。初始能量为 100 点。若对攻击思路没有头绪，可使用提示系统：三级提示分别消耗 10、20、40 点能量，提示越具体消耗越高。使用提示会记录在本次挑战的评分中。</w:t>
      </w:r>
    </w:p>
    <w:p>
      <w:pPr>
        <w:pStyle w:val="Heading3"/>
        <w:spacing w:line="336" w:lineRule="auto" w:before="160" w:after="80"/>
      </w:pPr>
      <w:r>
        <w:rPr>
          <w:rFonts w:ascii="黑体" w:hAnsi="黑体" w:eastAsia="黑体"/>
          <w:b/>
          <w:color w:val="333333"/>
          <w:sz w:val="24"/>
        </w:rPr>
        <w:t>第 3 步：提交攻击并查看结果</w:t>
      </w:r>
    </w:p>
    <w:p>
      <w:pPr>
        <w:spacing w:after="120" w:before="0" w:line="360" w:lineRule="auto"/>
        <w:ind w:firstLine="480"/>
      </w:pPr>
      <w:r>
        <w:rPr>
          <w:rFonts w:ascii="宋体" w:hAnsi="宋体" w:eastAsia="宋体"/>
          <w:b w:val="0"/>
          <w:sz w:val="24"/>
        </w:rPr>
        <w:t>在控制台输入攻击载荷并提交，平台使用与模式一完全相同的三级裁判引擎对结果进行判定，并即时反馈是否通关以及判定依据。每关的通关条件不同，涵盖提示注入成功、触发越权工具调用、诱导数据外泄等不同目标。</w:t>
      </w:r>
    </w:p>
    <w:p>
      <w:pPr>
        <w:pStyle w:val="Heading3"/>
        <w:spacing w:line="336" w:lineRule="auto" w:before="160" w:after="80"/>
      </w:pPr>
      <w:r>
        <w:rPr>
          <w:rFonts w:ascii="黑体" w:hAnsi="黑体" w:eastAsia="黑体"/>
          <w:b/>
          <w:color w:val="333333"/>
          <w:sz w:val="24"/>
        </w:rPr>
        <w:t>第 4 步：攻守互换与加固</w:t>
      </w:r>
    </w:p>
    <w:p>
      <w:pPr>
        <w:spacing w:after="120" w:before="0" w:line="360" w:lineRule="auto"/>
        <w:ind w:firstLine="480"/>
      </w:pPr>
      <w:r>
        <w:rPr>
          <w:rFonts w:ascii="宋体" w:hAnsi="宋体" w:eastAsia="宋体"/>
          <w:b w:val="0"/>
          <w:sz w:val="24"/>
        </w:rPr>
        <w:t>通关后可进入“攻守互换”模式，从攻击者视角切换到防守者视角，针对刚刚被攻破的环节选择加固措施。平台提供八项一键加固选项，每项均与修复手册中的具体根因一一对应，应用后返回该关重新挑战，可直观看到攻击是否被成功阻断。</w:t>
      </w:r>
    </w:p>
    <w:p>
      <w:pPr>
        <w:pStyle w:val="Heading3"/>
        <w:spacing w:line="336" w:lineRule="auto" w:before="160" w:after="80"/>
      </w:pPr>
      <w:r>
        <w:rPr>
          <w:rFonts w:ascii="黑体" w:hAnsi="黑体" w:eastAsia="黑体"/>
          <w:b/>
          <w:color w:val="333333"/>
          <w:sz w:val="24"/>
        </w:rPr>
        <w:t>第 5 步：查看成就与进度</w:t>
      </w:r>
    </w:p>
    <w:p>
      <w:pPr>
        <w:spacing w:after="120" w:before="0" w:line="360" w:lineRule="auto"/>
        <w:ind w:firstLine="480"/>
      </w:pPr>
      <w:r>
        <w:rPr>
          <w:rFonts w:ascii="宋体" w:hAnsi="宋体" w:eastAsia="宋体"/>
          <w:b w:val="0"/>
          <w:sz w:val="24"/>
        </w:rPr>
        <w:t>在“个人中心”可以查看已获得的徽章、各关得分、能力雷达图与总进度，用于跟踪自身安全能力的成长轨迹。</w:t>
      </w:r>
    </w:p>
    <w:p>
      <w:pPr>
        <w:pStyle w:val="Heading2"/>
        <w:spacing w:line="336" w:lineRule="auto" w:before="200" w:after="120"/>
      </w:pPr>
      <w:r>
        <w:rPr>
          <w:rFonts w:ascii="黑体" w:hAnsi="黑体" w:eastAsia="黑体"/>
          <w:b/>
          <w:color w:val="222222"/>
          <w:sz w:val="27"/>
        </w:rPr>
        <w:t>（六）CI 回归门禁的使用</w:t>
      </w:r>
    </w:p>
    <w:p>
      <w:pPr>
        <w:spacing w:after="120" w:before="0" w:line="360" w:lineRule="auto"/>
        <w:ind w:firstLine="480"/>
      </w:pPr>
      <w:r>
        <w:rPr>
          <w:rFonts w:ascii="宋体" w:hAnsi="宋体" w:eastAsia="宋体"/>
          <w:b w:val="0"/>
          <w:sz w:val="24"/>
        </w:rPr>
        <w:t>平台提供命令行门禁接口，可在持续集成流程中自动执行安全检查：</w:t>
      </w:r>
    </w:p>
    <w:p>
      <w:pPr>
        <w:spacing w:after="160" w:line="288" w:lineRule="auto"/>
        <w:ind w:left="567"/>
      </w:pPr>
      <w:r>
        <w:rPr>
          <w:rFonts w:ascii="Consolas" w:hAnsi="Consolas" w:eastAsia="Consolas"/>
          <w:b w:val="0"/>
          <w:sz w:val="21"/>
        </w:rPr>
        <w:t>python scripts/xian.py scan</w:t>
      </w:r>
    </w:p>
    <w:p>
      <w:pPr>
        <w:spacing w:after="120" w:before="0" w:line="360" w:lineRule="auto"/>
        <w:ind w:firstLine="480"/>
      </w:pPr>
      <w:r>
        <w:rPr>
          <w:rFonts w:ascii="宋体" w:hAnsi="宋体" w:eastAsia="宋体"/>
          <w:b w:val="0"/>
          <w:sz w:val="24"/>
        </w:rPr>
        <w:t>该命令会执行评测并与上一版本的评分比对。当分数跌幅超过设定阈值，或出现新的高危发现时，命令返回非零退出码，从而使持续集成流水线阻断本次合并；同时支持输出 SARIF 格式结果，可直接对接代码托管平台的代码扫描面板。</w:t>
      </w:r>
    </w:p>
    <w:p>
      <w:pPr>
        <w:pStyle w:val="Heading2"/>
        <w:spacing w:line="336" w:lineRule="auto" w:before="200" w:after="120"/>
      </w:pPr>
      <w:r>
        <w:rPr>
          <w:rFonts w:ascii="黑体" w:hAnsi="黑体" w:eastAsia="黑体"/>
          <w:b/>
          <w:color w:val="222222"/>
          <w:sz w:val="27"/>
        </w:rPr>
        <w:t>（七）常见问题</w:t>
      </w:r>
    </w:p>
    <w:tbl>
      <w:tblPr>
        <w:tblStyle w:val="TableGrid"/>
        <w:tblW w:type="auto" w:w="0"/>
        <w:jc w:val="center"/>
        <w:tblLook w:firstColumn="1" w:firstRow="1" w:lastColumn="0" w:lastRow="0" w:noHBand="0" w:noVBand="1" w:val="04A0"/>
      </w:tblPr>
      <w:tblGrid>
        <w:gridCol w:w="4422"/>
        <w:gridCol w:w="4422"/>
      </w:tblGrid>
      <w:tr>
        <w:tc>
          <w:tcPr>
            <w:tcW w:type="dxa" w:w="2476"/>
            <w:shd w:val="clear" w:color="auto" w:fill="DDE5F5"/>
          </w:tcPr>
          <w:p>
            <w:pPr>
              <w:spacing w:before="40" w:after="40" w:line="276" w:lineRule="auto"/>
              <w:jc w:val="center"/>
            </w:pPr>
            <w:r>
              <w:rPr>
                <w:rFonts w:ascii="黑体" w:hAnsi="黑体" w:eastAsia="黑体"/>
                <w:b/>
                <w:sz w:val="21"/>
              </w:rPr>
              <w:t>现象</w:t>
            </w:r>
          </w:p>
        </w:tc>
        <w:tc>
          <w:tcPr>
            <w:tcW w:type="dxa" w:w="6368"/>
            <w:shd w:val="clear" w:color="auto" w:fill="DDE5F5"/>
          </w:tcPr>
          <w:p>
            <w:pPr>
              <w:spacing w:before="40" w:after="40" w:line="276" w:lineRule="auto"/>
              <w:jc w:val="center"/>
            </w:pPr>
            <w:r>
              <w:rPr>
                <w:rFonts w:ascii="黑体" w:hAnsi="黑体" w:eastAsia="黑体"/>
                <w:b/>
                <w:sz w:val="21"/>
              </w:rPr>
              <w:t>原因与处理</w:t>
            </w:r>
          </w:p>
        </w:tc>
      </w:tr>
      <w:tr>
        <w:tc>
          <w:tcPr>
            <w:tcW w:type="dxa" w:w="2476"/>
          </w:tcPr>
          <w:p>
            <w:pPr>
              <w:spacing w:before="40" w:after="40" w:line="276" w:lineRule="auto"/>
              <w:jc w:val="center"/>
            </w:pPr>
            <w:r>
              <w:rPr>
                <w:rFonts w:ascii="宋体" w:hAnsi="宋体" w:eastAsia="宋体"/>
                <w:b w:val="0"/>
                <w:sz w:val="21"/>
              </w:rPr>
              <w:t>启动时提示数据库连接失败</w:t>
            </w:r>
          </w:p>
        </w:tc>
        <w:tc>
          <w:tcPr>
            <w:tcW w:type="dxa" w:w="6368"/>
          </w:tcPr>
          <w:p>
            <w:pPr>
              <w:spacing w:before="40" w:after="40" w:line="276" w:lineRule="auto"/>
            </w:pPr>
            <w:r>
              <w:rPr>
                <w:rFonts w:ascii="宋体" w:hAnsi="宋体" w:eastAsia="宋体"/>
                <w:b w:val="0"/>
                <w:sz w:val="21"/>
              </w:rPr>
              <w:t>属正常降级行为。未配置数据库时平台自动改用 SQLite 本地文件，功能不受影响；如需使用 PostgreSQL，请配置连接串后重启。</w:t>
            </w:r>
          </w:p>
        </w:tc>
      </w:tr>
      <w:tr>
        <w:tc>
          <w:tcPr>
            <w:tcW w:type="dxa" w:w="2476"/>
          </w:tcPr>
          <w:p>
            <w:pPr>
              <w:spacing w:before="40" w:after="40" w:line="276" w:lineRule="auto"/>
            </w:pPr>
            <w:r>
              <w:rPr>
                <w:rFonts w:ascii="宋体" w:hAnsi="宋体" w:eastAsia="宋体"/>
                <w:b w:val="0"/>
                <w:sz w:val="21"/>
              </w:rPr>
              <w:t>登录时提示“已进入演示模式”</w:t>
            </w:r>
          </w:p>
        </w:tc>
        <w:tc>
          <w:tcPr>
            <w:tcW w:type="dxa" w:w="6368"/>
          </w:tcPr>
          <w:p>
            <w:pPr>
              <w:spacing w:before="40" w:after="40" w:line="276" w:lineRule="auto"/>
            </w:pPr>
            <w:r>
              <w:rPr>
                <w:rFonts w:ascii="宋体" w:hAnsi="宋体" w:eastAsia="宋体"/>
                <w:b w:val="0"/>
                <w:sz w:val="21"/>
              </w:rPr>
              <w:t>说明后端服务未启动或不可达。前端会自动写入本地上下文以支持界面演示；请确认后端已在 127.0.0.1:8000 启动。</w:t>
            </w:r>
          </w:p>
        </w:tc>
      </w:tr>
      <w:tr>
        <w:tc>
          <w:tcPr>
            <w:tcW w:type="dxa" w:w="2476"/>
          </w:tcPr>
          <w:p>
            <w:pPr>
              <w:spacing w:before="40" w:after="40" w:line="276" w:lineRule="auto"/>
            </w:pPr>
            <w:r>
              <w:rPr>
                <w:rFonts w:ascii="宋体" w:hAnsi="宋体" w:eastAsia="宋体"/>
                <w:b w:val="0"/>
                <w:sz w:val="21"/>
              </w:rPr>
              <w:t>创建战役时返回 403 拒绝</w:t>
            </w:r>
          </w:p>
        </w:tc>
        <w:tc>
          <w:tcPr>
            <w:tcW w:type="dxa" w:w="6368"/>
          </w:tcPr>
          <w:p>
            <w:pPr>
              <w:spacing w:before="40" w:after="40" w:line="276" w:lineRule="auto"/>
            </w:pPr>
            <w:r>
              <w:rPr>
                <w:rFonts w:ascii="宋体" w:hAnsi="宋体" w:eastAsia="宋体"/>
                <w:b w:val="0"/>
                <w:sz w:val="21"/>
              </w:rPr>
              <w:t>目标 Agent 尚未完成归属校验。请先在 Agent 详情页完成 DNS TXT 或镜像摘要校验。</w:t>
            </w:r>
          </w:p>
        </w:tc>
      </w:tr>
      <w:tr>
        <w:tc>
          <w:tcPr>
            <w:tcW w:type="dxa" w:w="2476"/>
          </w:tcPr>
          <w:p>
            <w:pPr>
              <w:spacing w:before="40" w:after="40" w:line="276" w:lineRule="auto"/>
              <w:jc w:val="center"/>
            </w:pPr>
            <w:r>
              <w:rPr>
                <w:rFonts w:ascii="宋体" w:hAnsi="宋体" w:eastAsia="宋体"/>
                <w:b w:val="0"/>
                <w:sz w:val="21"/>
              </w:rPr>
              <w:t>战役执行后没有产生发现</w:t>
            </w:r>
          </w:p>
        </w:tc>
        <w:tc>
          <w:tcPr>
            <w:tcW w:type="dxa" w:w="6368"/>
          </w:tcPr>
          <w:p>
            <w:pPr>
              <w:spacing w:before="40" w:after="40" w:line="276" w:lineRule="auto"/>
            </w:pPr>
            <w:r>
              <w:rPr>
                <w:rFonts w:ascii="宋体" w:hAnsi="宋体" w:eastAsia="宋体"/>
                <w:b w:val="0"/>
                <w:sz w:val="21"/>
              </w:rPr>
              <w:t>属正常结果，说明被测 Agent 在该批载荷下未表现出风险。可在战役详情页查看判定流水，确认每条用例的实际判定依据。</w:t>
            </w:r>
          </w:p>
        </w:tc>
      </w:tr>
      <w:tr>
        <w:tc>
          <w:tcPr>
            <w:tcW w:type="dxa" w:w="2476"/>
          </w:tcPr>
          <w:p>
            <w:pPr>
              <w:spacing w:before="40" w:after="40" w:line="276" w:lineRule="auto"/>
              <w:jc w:val="center"/>
            </w:pPr>
            <w:r>
              <w:rPr>
                <w:rFonts w:ascii="宋体" w:hAnsi="宋体" w:eastAsia="宋体"/>
                <w:b w:val="0"/>
                <w:sz w:val="21"/>
              </w:rPr>
              <w:t>报告导出 PDF 失败</w:t>
            </w:r>
          </w:p>
        </w:tc>
        <w:tc>
          <w:tcPr>
            <w:tcW w:type="dxa" w:w="6368"/>
          </w:tcPr>
          <w:p>
            <w:pPr>
              <w:spacing w:before="40" w:after="40" w:line="276" w:lineRule="auto"/>
            </w:pPr>
            <w:r>
              <w:rPr>
                <w:rFonts w:ascii="宋体" w:hAnsi="宋体" w:eastAsia="宋体"/>
                <w:b w:val="0"/>
                <w:sz w:val="21"/>
              </w:rPr>
              <w:t>PDF 导出依赖无头浏览器渲染，未安装时请改用 HTML 或 JSON 格式导出。</w:t>
            </w:r>
          </w:p>
        </w:tc>
      </w:tr>
    </w:tbl>
    <w:p>
      <w:pPr>
        <w:spacing w:before="60" w:after="200"/>
        <w:jc w:val="center"/>
      </w:pPr>
      <w:r>
        <w:rPr>
          <w:rFonts w:ascii="宋体" w:hAnsi="宋体" w:eastAsia="宋体"/>
          <w:b w:val="0"/>
          <w:color w:val="555555"/>
          <w:sz w:val="21"/>
        </w:rPr>
        <w:t>表 12  常见问题与处理</w:t>
      </w:r>
    </w:p>
    <w:p>
      <w:pPr>
        <w:pStyle w:val="Heading1"/>
        <w:spacing w:line="336" w:lineRule="auto" w:before="120" w:after="240"/>
      </w:pPr>
      <w:r>
        <w:rPr>
          <w:rFonts w:ascii="黑体" w:hAnsi="黑体" w:eastAsia="黑体"/>
          <w:b/>
          <w:color w:val="1E40AF"/>
          <w:sz w:val="32"/>
        </w:rPr>
        <w:t>八、致谢</w:t>
      </w:r>
    </w:p>
    <w:p>
      <w:pPr>
        <w:spacing w:after="120" w:before="0" w:line="360" w:lineRule="auto"/>
        <w:ind w:firstLine="480"/>
      </w:pPr>
      <w:r>
        <w:rPr>
          <w:rFonts w:ascii="宋体" w:hAnsi="宋体" w:eastAsia="宋体"/>
          <w:b w:val="0"/>
          <w:sz w:val="24"/>
        </w:rPr>
        <w:t>本项目从选题、调研到设计实现，历时数周，得到了许多帮助，在此致以诚挚谢意。</w:t>
      </w:r>
    </w:p>
    <w:p>
      <w:pPr>
        <w:spacing w:after="120" w:before="0" w:line="360" w:lineRule="auto"/>
        <w:ind w:firstLine="480"/>
      </w:pPr>
      <w:r>
        <w:rPr>
          <w:rFonts w:ascii="宋体" w:hAnsi="宋体" w:eastAsia="宋体"/>
          <w:b w:val="0"/>
          <w:sz w:val="24"/>
        </w:rPr>
        <w:t>感谢指导教师在本项目选题方向、攻击矩阵分类体系与判定模型设计上给予的悉心指导，特别是在三级裁判流水线的分层思路上提出的关键建议，使平台在“零漏报”与“成本可控”之间找到了合理的平衡点。</w:t>
      </w:r>
    </w:p>
    <w:p>
      <w:pPr>
        <w:spacing w:after="120" w:before="0" w:line="360" w:lineRule="auto"/>
        <w:ind w:firstLine="480"/>
      </w:pPr>
      <w:r>
        <w:rPr>
          <w:rFonts w:ascii="宋体" w:hAnsi="宋体" w:eastAsia="宋体"/>
          <w:b w:val="0"/>
          <w:sz w:val="24"/>
        </w:rPr>
        <w:t>感谢学院与实验室为本项目提供的开发环境与测试设备支持，感谢参与需求调研的安全从业者与研发工程师，他们从真实业务场景出发提出的意见，在很大程度上决定了本平台目标用户与功能边界的设定。</w:t>
      </w:r>
    </w:p>
    <w:p>
      <w:pPr>
        <w:spacing w:after="120" w:before="0" w:line="360" w:lineRule="auto"/>
        <w:ind w:firstLine="480"/>
      </w:pPr>
      <w:r>
        <w:rPr>
          <w:rFonts w:ascii="宋体" w:hAnsi="宋体" w:eastAsia="宋体"/>
          <w:b w:val="0"/>
          <w:sz w:val="24"/>
        </w:rPr>
        <w:t>感谢开源社区。本作品构建在 FastAPI、SQLAlchemy、Celery、React、Vite、Tailwind CSS、ECharts 等众多优秀开源项目之上，也参考了 ReactBits 的组件实现思路。正是这些开放共享的成果，让一个学生团队能够在有限时间内把精力集中在真正的业务问题上。</w:t>
      </w:r>
    </w:p>
    <w:p>
      <w:pPr>
        <w:spacing w:after="120" w:before="0" w:line="360" w:lineRule="auto"/>
        <w:ind w:firstLine="480"/>
      </w:pPr>
      <w:r>
        <w:rPr>
          <w:rFonts w:ascii="宋体" w:hAnsi="宋体" w:eastAsia="宋体"/>
          <w:b w:val="0"/>
          <w:sz w:val="24"/>
        </w:rPr>
        <w:t>最后，感谢全体小组成员的投入与协作，也感谢大赛组委会提供这次宝贵的交流与学习机会。</w:t>
      </w:r>
    </w:p>
    <w:sectPr w:rsidR="00FC693F" w:rsidRPr="0006063C" w:rsidSect="00034616">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