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Adaptive Risk Twin – Fraud Module: Conceptual Summary for Interviews</w:t>
      </w:r>
    </w:p>
    <w:p>
      <w:pPr>
        <w:pStyle w:val="Heading2"/>
      </w:pPr>
      <w:r>
        <w:t>1. What PaySim Is &amp; Why It Matters</w:t>
      </w:r>
    </w:p>
    <w:p>
      <w:r>
        <w:t>PaySim is a synthetic financial transaction dataset modeled after real mobile money systems. It mimics real-world behavior while allowing fraud research without exposing sensitive banking data. It enables end-to-end fraud analytics including EDA, feature engineering, model training, explainability, and API deployment.</w:t>
      </w:r>
    </w:p>
    <w:p>
      <w:pPr>
        <w:pStyle w:val="Heading2"/>
      </w:pPr>
      <w:r>
        <w:t>2. Fraud Patterns in PaySim</w:t>
      </w:r>
    </w:p>
    <w:p>
      <w:r>
        <w:t>- Destination balance jumps (mule activation)</w:t>
      </w:r>
    </w:p>
    <w:p>
      <w:r>
        <w:t>- Zero-to-zero laundering patterns (ghost transfers)</w:t>
      </w:r>
    </w:p>
    <w:p>
      <w:r>
        <w:t>- Origin balance anomalies (negative balances, unchanged balances)</w:t>
      </w:r>
    </w:p>
    <w:p>
      <w:r>
        <w:t>These abnormal patterns form the core fraud signatures leveraged in modeling.</w:t>
      </w:r>
    </w:p>
    <w:p>
      <w:pPr>
        <w:pStyle w:val="Heading2"/>
      </w:pPr>
      <w:r>
        <w:t>3. Why Feature Engineering Was Critical</w:t>
      </w:r>
    </w:p>
    <w:p>
      <w:r>
        <w:t>Raw PaySim fields have weak predictive signal. Domain-driven engineered features such as jump ratios and laundering flags capture realistic fraud behavior. These features significantly boost model performance and interpretability.</w:t>
      </w:r>
    </w:p>
    <w:p>
      <w:pPr>
        <w:pStyle w:val="Heading2"/>
      </w:pPr>
      <w:r>
        <w:t>4. Class Imbalance Strategy</w:t>
      </w:r>
    </w:p>
    <w:p>
      <w:r>
        <w:t>Fraud is ~0.13% of the dataset. Without imbalance handling, the model predicts 'not fraud' for nearly all cases. To fix this:</w:t>
      </w:r>
    </w:p>
    <w:p>
      <w:r>
        <w:t>- SMOTE oversampling is used to increase positive examples.</w:t>
      </w:r>
    </w:p>
    <w:p>
      <w:r>
        <w:t>- Class weights tell the model fraud errors are more costly.</w:t>
      </w:r>
    </w:p>
    <w:p>
      <w:r>
        <w:t>This combination ensures robust fraud detection.</w:t>
      </w:r>
    </w:p>
    <w:p>
      <w:pPr>
        <w:pStyle w:val="Heading2"/>
      </w:pPr>
      <w:r>
        <w:t>5. Why LightGBM Performed Best</w:t>
      </w:r>
    </w:p>
    <w:p>
      <w:r>
        <w:t>LightGBM handles nonlinear interactions and imbalanced tabular data efficiently. With engineered features, it achieved a ROC-AUC of ~0.9997. It is often state-of-the-art for fraud and credit risk prediction in industry.</w:t>
      </w:r>
    </w:p>
    <w:p>
      <w:pPr>
        <w:pStyle w:val="Heading2"/>
      </w:pPr>
      <w:r>
        <w:t>6. SHAP Explainability Insights</w:t>
      </w:r>
    </w:p>
    <w:p>
      <w:r>
        <w:t>Top predictors:</w:t>
      </w:r>
    </w:p>
    <w:p>
      <w:r>
        <w:t>- Destination jump ratio</w:t>
      </w:r>
    </w:p>
    <w:p>
      <w:r>
        <w:t>- Zero-to-zero laundering flag</w:t>
      </w:r>
    </w:p>
    <w:p>
      <w:r>
        <w:t>- Amount and transaction type</w:t>
      </w:r>
    </w:p>
    <w:p>
      <w:r>
        <w:t>SHAP validates the engineered features and provides transparency for risk audit and regulatory requirements.</w:t>
      </w:r>
    </w:p>
    <w:p>
      <w:pPr>
        <w:pStyle w:val="Heading2"/>
      </w:pPr>
      <w:r>
        <w:t>7. End-to-End Fraud Modeling Pipeline Completed</w:t>
      </w:r>
    </w:p>
    <w:p>
      <w:r>
        <w:t>You have completed:</w:t>
      </w:r>
    </w:p>
    <w:p>
      <w:r>
        <w:t>- EDA and fraud signature discovery</w:t>
      </w:r>
    </w:p>
    <w:p>
      <w:r>
        <w:t>- Engineered fraud features</w:t>
      </w:r>
    </w:p>
    <w:p>
      <w:r>
        <w:t>- Cleaned dataset creation</w:t>
      </w:r>
    </w:p>
    <w:p>
      <w:r>
        <w:t>- Train/test split and imbalance handling</w:t>
      </w:r>
    </w:p>
    <w:p>
      <w:r>
        <w:t>- Logistic Regression, LightGBM, XGBoost models</w:t>
      </w:r>
    </w:p>
    <w:p>
      <w:r>
        <w:t>- Saving models and scalers</w:t>
      </w:r>
    </w:p>
    <w:p>
      <w:r>
        <w:t>- SHAP explainability and visualization</w:t>
      </w:r>
    </w:p>
    <w:p>
      <w:pPr>
        <w:pStyle w:val="Heading2"/>
      </w:pPr>
      <w:r>
        <w:t>8. How to Explain This Project in an Interview</w:t>
      </w:r>
    </w:p>
    <w:p>
      <w:r>
        <w:t>Focus on:</w:t>
      </w:r>
    </w:p>
    <w:p>
      <w:r>
        <w:t>- Real-world fraud behavior and money laundering signatures</w:t>
      </w:r>
    </w:p>
    <w:p>
      <w:r>
        <w:t>- Why engineered features matter</w:t>
      </w:r>
    </w:p>
    <w:p>
      <w:r>
        <w:t>- Your imbalance strategy</w:t>
      </w:r>
    </w:p>
    <w:p>
      <w:r>
        <w:t>- Why LightGBM was chosen</w:t>
      </w:r>
    </w:p>
    <w:p>
      <w:r>
        <w:t>- How SHAP validated your design</w:t>
      </w:r>
    </w:p>
    <w:p>
      <w:r>
        <w:t>- How this fits into the Adaptive Risk Twin architecture (API + agents + simulation)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