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1DF59" w14:textId="19B17664" w:rsidR="00E3501C" w:rsidRDefault="00DD2C98" w:rsidP="00DD2C98">
      <w:pPr>
        <w:pStyle w:val="Nzev"/>
        <w:jc w:val="center"/>
      </w:pPr>
      <w:r>
        <w:t>Tisková zpráva</w:t>
      </w:r>
    </w:p>
    <w:sectPr w:rsidR="00E35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98"/>
    <w:rsid w:val="00DD2C98"/>
    <w:rsid w:val="00E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0BBF"/>
  <w15:chartTrackingRefBased/>
  <w15:docId w15:val="{6B8AF468-8CF1-4194-B4E4-1380E1C4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D2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D2C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Zikuška</dc:creator>
  <cp:keywords/>
  <dc:description/>
  <cp:lastModifiedBy>Jan Zikuška</cp:lastModifiedBy>
  <cp:revision>1</cp:revision>
  <dcterms:created xsi:type="dcterms:W3CDTF">2021-01-20T14:37:00Z</dcterms:created>
  <dcterms:modified xsi:type="dcterms:W3CDTF">2021-01-20T14:37:00Z</dcterms:modified>
</cp:coreProperties>
</file>