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sz="0"/>
              <w:left w:val="none" w:sz="0"/>
              <w:bottom w:val="none" w:sz="0"/>
              <w:right w:val="none" w:sz="0"/>
            </w:tcBorders>
            <w:shd w:fill="1B3A5C" w:val="clear"/>
            <w:tcMar>
              <w:top w:type="dxa" w:w="120"/>
              <w:left w:type="dxa" w:w="200"/>
              <w:bottom w:type="dxa" w:w="120"/>
              <w:right w:type="dxa" w:w="200"/>
            </w:tcMar>
          </w:tcPr>
          <w:p>
            <w:pPr>
              <w:spacing w:after="0"/>
              <w:jc w:val="center"/>
            </w:pPr>
            <w:r>
              <w:rPr>
                <w:rFonts w:ascii="Arial" w:cs="Arial" w:eastAsia="Arial" w:hAnsi="Arial"/>
                <w:b/>
                <w:bCs/>
                <w:color w:val="FFFFFF"/>
                <w:sz w:val="32"/>
                <w:szCs w:val="32"/>
              </w:rPr>
              <w:t xml:space="preserve">KEYSTONE</w:t>
            </w:r>
          </w:p>
          <w:p>
            <w:pPr>
              <w:spacing w:after="0"/>
              <w:jc w:val="center"/>
            </w:pPr>
            <w:r>
              <w:rPr>
                <w:rFonts w:ascii="Arial" w:cs="Arial" w:eastAsia="Arial" w:hAnsi="Arial"/>
                <w:i/>
                <w:iCs/>
                <w:color w:val="B0C4DE"/>
                <w:sz w:val="20"/>
                <w:szCs w:val="20"/>
              </w:rPr>
              <w:t xml:space="preserve">Logistics Intelligence from the Data Marines Already Generate</w:t>
            </w:r>
          </w:p>
          <w:p>
            <w:pPr>
              <w:spacing w:after="0" w:before="40"/>
              <w:jc w:val="center"/>
            </w:pPr>
            <w:r>
              <w:rPr>
                <w:rFonts w:ascii="Arial" w:cs="Arial" w:eastAsia="Arial" w:hAnsi="Arial"/>
                <w:color w:val="7A8BA0"/>
                <w:sz w:val="16"/>
                <w:szCs w:val="16"/>
              </w:rPr>
              <w:t xml:space="preserve">A Project Dynamis Component  |  USMC CJADC2</w:t>
            </w:r>
          </w:p>
        </w:tc>
      </w:tr>
    </w:tbl>
    <w:p>
      <w:pPr>
        <w:spacing w:after="0" w:before="100"/>
      </w:pPr>
    </w:p>
    <w:p>
      <w:pPr>
        <w:spacing w:after="60" w:before="0"/>
      </w:pPr>
      <w:r>
        <w:rPr>
          <w:rFonts w:ascii="Arial" w:cs="Arial" w:eastAsia="Arial" w:hAnsi="Arial"/>
          <w:b/>
          <w:bCs/>
          <w:color w:val="C8102E"/>
          <w:sz w:val="22"/>
          <w:szCs w:val="22"/>
        </w:rPr>
        <w:t xml:space="preserve">THE PROBLEM</w:t>
      </w:r>
    </w:p>
    <w:p>
      <w:pPr>
        <w:spacing w:after="40"/>
      </w:pPr>
      <w:r>
        <w:rPr>
          <w:sz w:val="19"/>
          <w:szCs w:val="19"/>
        </w:rPr>
        <w:t xml:space="preserve">Every day, Marines generate thousands of logistics data points—supply status, equipment readiness, transportation updates, maintenance reports. This data flows through </w:t>
      </w:r>
      <w:r>
        <w:rPr>
          <w:b/>
          <w:bCs/>
          <w:sz w:val="19"/>
          <w:szCs w:val="19"/>
        </w:rPr>
        <w:t xml:space="preserve">mIRC chats, Excel spreadsheets, TAK apps, GCSS-MC, DAI, home-grown tools, emails, and verbal reports</w:t>
      </w:r>
      <w:r>
        <w:rPr>
          <w:sz w:val="19"/>
          <w:szCs w:val="19"/>
        </w:rPr>
        <w:t xml:space="preserve">. But none of it is connected. A regimental commander cannot see the supply status of all battalions in one place. An S-4 spends hours manually compiling reports by copying data between chat windows, spreadsheets, and multiple systems of record. Trends that could predict shortfalls go unnoticed because nobody has time to mine chat logs.</w:t>
      </w:r>
    </w:p>
    <w:p>
      <w:pPr>
        <w:spacing w:after="60"/>
      </w:pPr>
      <w:r>
        <w:rPr>
          <w:b/>
          <w:bCs/>
          <w:color w:val="1B3A5C"/>
          <w:sz w:val="19"/>
          <w:szCs w:val="19"/>
        </w:rPr>
        <w:t xml:space="preserve">The data exists. The problem is that it’s trapped, unstructured, and invisible.</w:t>
      </w:r>
    </w:p>
    <w:p>
      <w:pPr>
        <w:pBdr>
          <w:bottom w:val="single" w:color="C8102E" w:sz="2" w:space="4"/>
        </w:pBdr>
        <w:spacing w:after="0" w:before="40"/>
      </w:pPr>
    </w:p>
    <w:p>
      <w:pPr>
        <w:spacing w:after="60" w:before="80"/>
      </w:pPr>
      <w:r>
        <w:rPr>
          <w:rFonts w:ascii="Arial" w:cs="Arial" w:eastAsia="Arial" w:hAnsi="Arial"/>
          <w:b/>
          <w:bCs/>
          <w:color w:val="C8102E"/>
          <w:sz w:val="22"/>
          <w:szCs w:val="22"/>
        </w:rPr>
        <w:t xml:space="preserve">THE SOLUTION</w:t>
      </w:r>
    </w:p>
    <w:p>
      <w:pPr>
        <w:spacing w:after="40"/>
      </w:pPr>
      <w:r>
        <w:rPr>
          <w:sz w:val="19"/>
          <w:szCs w:val="19"/>
        </w:rPr>
        <w:t xml:space="preserve">KEYSTONE is a </w:t>
      </w:r>
      <w:r>
        <w:rPr>
          <w:b/>
          <w:bCs/>
          <w:sz w:val="19"/>
          <w:szCs w:val="19"/>
        </w:rPr>
        <w:t xml:space="preserve">logistics intelligence tool</w:t>
      </w:r>
      <w:r>
        <w:rPr>
          <w:sz w:val="19"/>
          <w:szCs w:val="19"/>
        </w:rPr>
        <w:t xml:space="preserve"> built as part of Project Dynamis—the USMC’s effort for Combined Joint All-Domain Command and Control (CJADC2). It listens to the logistics data Marines are already producing—through mIRC, Excel, TAK logistics plugins, and more—structures it, and turns it into actionable intelligence. It does not change how tactical units operate—but it enables better, faster analysis and decision-making to generate tempo. KEYSTONE captures that output, parses it, and presents a unified logistics picture that has never existed before.</w:t>
      </w:r>
    </w:p>
    <w:p>
      <w:pPr>
        <w:spacing w:after="60" w:before="100"/>
      </w:pPr>
      <w:r>
        <w:rPr>
          <w:rFonts w:ascii="Arial" w:cs="Arial" w:eastAsia="Arial" w:hAnsi="Arial"/>
          <w:b/>
          <w:bCs/>
          <w:color w:val="1B3A5C"/>
          <w:sz w:val="20"/>
          <w:szCs w:val="20"/>
        </w:rPr>
        <w:t xml:space="preserve">WHAT KEYSTONE DELIVERS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3600"/>
      </w:tblGrid>
      <w:tr>
        <w:tc>
          <w:tcPr>
            <w:tcW w:type="dxa" w:w="3600"/>
            <w:tcBorders>
              <w:top w:val="single" w:color="BBBBBB" w:sz="1"/>
              <w:left w:val="single" w:color="BBBBBB" w:sz="1"/>
              <w:bottom w:val="single" w:color="BBBBBB" w:sz="1"/>
              <w:right w:val="single" w:color="BBBBBB" w:sz="1"/>
            </w:tcBorders>
            <w:shd w:fill="F2F4F7" w:val="clear"/>
            <w:tcMar>
              <w:top w:type="dxa" w:w="80"/>
              <w:left w:type="dxa" w:w="100"/>
              <w:bottom w:type="dxa" w:w="80"/>
              <w:right w:type="dxa" w:w="100"/>
            </w:tcMar>
          </w:tcPr>
          <w:p>
            <w:pPr>
              <w:spacing w:after="40"/>
            </w:pPr>
            <w:r>
              <w:rPr>
                <w:rFonts w:ascii="Arial" w:cs="Arial" w:eastAsia="Arial" w:hAnsi="Arial"/>
                <w:b/>
                <w:bCs/>
                <w:color w:val="1B3A5C"/>
                <w:sz w:val="18"/>
                <w:szCs w:val="18"/>
              </w:rPr>
              <w:t xml:space="preserve">VISIBILITY</w:t>
            </w:r>
          </w:p>
          <w:p>
            <w:pPr>
              <w:spacing w:after="20"/>
            </w:pPr>
            <w:r>
              <w:rPr>
                <w:rFonts w:ascii="Arial" w:cs="Arial" w:eastAsia="Arial" w:hAnsi="Arial"/>
                <w:sz w:val="16"/>
                <w:szCs w:val="16"/>
              </w:rPr>
              <w:t xml:space="preserve">A logistics Common Operating Picture that shows supply status, equipment readiness, and transportation across all units—updated in real time from existing data streams.</w:t>
            </w:r>
          </w:p>
        </w:tc>
        <w:tc>
          <w:tcPr>
            <w:tcW w:type="dxa" w:w="3600"/>
            <w:tcBorders>
              <w:top w:val="single" w:color="BBBBBB" w:sz="1"/>
              <w:left w:val="single" w:color="BBBBBB" w:sz="1"/>
              <w:bottom w:val="single" w:color="BBBBBB" w:sz="1"/>
              <w:right w:val="single" w:color="BBBBBB" w:sz="1"/>
            </w:tcBorders>
            <w:shd w:fill="F2F4F7" w:val="clear"/>
            <w:tcMar>
              <w:top w:type="dxa" w:w="80"/>
              <w:left w:type="dxa" w:w="100"/>
              <w:bottom w:type="dxa" w:w="80"/>
              <w:right w:type="dxa" w:w="100"/>
            </w:tcMar>
          </w:tcPr>
          <w:p>
            <w:pPr>
              <w:spacing w:after="40"/>
            </w:pPr>
            <w:r>
              <w:rPr>
                <w:rFonts w:ascii="Arial" w:cs="Arial" w:eastAsia="Arial" w:hAnsi="Arial"/>
                <w:b/>
                <w:bCs/>
                <w:color w:val="1B3A5C"/>
                <w:sz w:val="18"/>
                <w:szCs w:val="18"/>
              </w:rPr>
              <w:t xml:space="preserve">TIME SAVINGS</w:t>
            </w:r>
          </w:p>
          <w:p>
            <w:pPr>
              <w:spacing w:after="20"/>
            </w:pPr>
            <w:r>
              <w:rPr>
                <w:rFonts w:ascii="Arial" w:cs="Arial" w:eastAsia="Arial" w:hAnsi="Arial"/>
                <w:sz w:val="16"/>
                <w:szCs w:val="16"/>
              </w:rPr>
              <w:t xml:space="preserve">Automated report generation replaces hours of manual compilation. LOGSTATs, readiness reports, and higher HQ rollups are built from data already ingested—not retyped.</w:t>
            </w:r>
          </w:p>
        </w:tc>
        <w:tc>
          <w:tcPr>
            <w:tcW w:type="dxa" w:w="3600"/>
            <w:tcBorders>
              <w:top w:val="single" w:color="BBBBBB" w:sz="1"/>
              <w:left w:val="single" w:color="BBBBBB" w:sz="1"/>
              <w:bottom w:val="single" w:color="BBBBBB" w:sz="1"/>
              <w:right w:val="single" w:color="BBBBBB" w:sz="1"/>
            </w:tcBorders>
            <w:shd w:fill="F2F4F7" w:val="clear"/>
            <w:tcMar>
              <w:top w:type="dxa" w:w="80"/>
              <w:left w:type="dxa" w:w="100"/>
              <w:bottom w:type="dxa" w:w="80"/>
              <w:right w:type="dxa" w:w="100"/>
            </w:tcMar>
          </w:tcPr>
          <w:p>
            <w:pPr>
              <w:spacing w:after="40"/>
            </w:pPr>
            <w:r>
              <w:rPr>
                <w:rFonts w:ascii="Arial" w:cs="Arial" w:eastAsia="Arial" w:hAnsi="Arial"/>
                <w:b/>
                <w:bCs/>
                <w:color w:val="1B3A5C"/>
                <w:sz w:val="18"/>
                <w:szCs w:val="18"/>
              </w:rPr>
              <w:t xml:space="preserve">INTELLIGENCE</w:t>
            </w:r>
          </w:p>
          <w:p>
            <w:pPr>
              <w:spacing w:after="20"/>
            </w:pPr>
            <w:r>
              <w:rPr>
                <w:rFonts w:ascii="Arial" w:cs="Arial" w:eastAsia="Arial" w:hAnsi="Arial"/>
                <w:sz w:val="16"/>
                <w:szCs w:val="16"/>
              </w:rPr>
              <w:t xml:space="preserve">Analytics that identify consumption trends, forecast shortfalls, and flag anomalies—turning historical chat logs and spreadsheets into predictive logistics capability.</w:t>
            </w:r>
          </w:p>
        </w:tc>
      </w:tr>
    </w:tbl>
    <w:p>
      <w:pPr>
        <w:spacing w:after="60" w:before="120"/>
      </w:pPr>
      <w:r>
        <w:rPr>
          <w:rFonts w:ascii="Arial" w:cs="Arial" w:eastAsia="Arial" w:hAnsi="Arial"/>
          <w:b/>
          <w:bCs/>
          <w:color w:val="1B3A5C"/>
          <w:sz w:val="20"/>
          <w:szCs w:val="20"/>
        </w:rPr>
        <w:t xml:space="preserve">HOW IT WORKS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2160"/>
        <w:gridCol w:w="720"/>
        <w:gridCol w:w="2160"/>
        <w:gridCol w:w="720"/>
        <w:gridCol w:w="2160"/>
        <w:gridCol w:w="720"/>
        <w:gridCol w:w="2160"/>
      </w:tblGrid>
      <w:tr>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1. INGEST</w:t>
            </w:r>
          </w:p>
          <w:p>
            <w:pPr>
              <w:spacing w:after="0"/>
              <w:jc w:val="center"/>
            </w:pPr>
            <w:r>
              <w:rPr>
                <w:rFonts w:ascii="Arial" w:cs="Arial" w:eastAsia="Arial" w:hAnsi="Arial"/>
                <w:color w:val="B0C4DE"/>
                <w:sz w:val="14"/>
                <w:szCs w:val="14"/>
              </w:rPr>
              <w:t xml:space="preserve">Capture mIRC logs, TAK reports, Excel files, system data</w:t>
            </w:r>
          </w:p>
        </w:tc>
        <w:tc>
          <w:tcPr>
            <w:tcW w:type="dxa" w:w="720"/>
            <w:tcBorders>
              <w:top w:val="none" w:sz="0"/>
              <w:left w:val="none" w:sz="0"/>
              <w:bottom w:val="none" w:sz="0"/>
              <w:right w:val="none" w:sz="0"/>
            </w:tcBorders>
            <w:vAlign w:val="center"/>
          </w:tcPr>
          <w:p>
            <w:pPr>
              <w:spacing w:after="0"/>
              <w:jc w:val="center"/>
            </w:pPr>
            <w:r>
              <w:rPr>
                <w:rFonts w:ascii="Arial" w:cs="Arial" w:eastAsia="Arial" w:hAnsi="Arial"/>
                <w:color w:val="C8102E"/>
                <w:sz w:val="20"/>
                <w:szCs w:val="20"/>
              </w:rPr>
              <w:t xml:space="preserve">▶</w:t>
            </w:r>
          </w:p>
        </w:tc>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2. STRUCTURE</w:t>
            </w:r>
          </w:p>
          <w:p>
            <w:pPr>
              <w:spacing w:after="0"/>
              <w:jc w:val="center"/>
            </w:pPr>
            <w:r>
              <w:rPr>
                <w:rFonts w:ascii="Arial" w:cs="Arial" w:eastAsia="Arial" w:hAnsi="Arial"/>
                <w:color w:val="B0C4DE"/>
                <w:sz w:val="14"/>
                <w:szCs w:val="14"/>
              </w:rPr>
              <w:t xml:space="preserve">Parse and organize into unified database</w:t>
            </w:r>
          </w:p>
        </w:tc>
        <w:tc>
          <w:tcPr>
            <w:tcW w:type="dxa" w:w="720"/>
            <w:tcBorders>
              <w:top w:val="none" w:sz="0"/>
              <w:left w:val="none" w:sz="0"/>
              <w:bottom w:val="none" w:sz="0"/>
              <w:right w:val="none" w:sz="0"/>
            </w:tcBorders>
            <w:vAlign w:val="center"/>
          </w:tcPr>
          <w:p>
            <w:pPr>
              <w:spacing w:after="0"/>
              <w:jc w:val="center"/>
            </w:pPr>
            <w:r>
              <w:rPr>
                <w:rFonts w:ascii="Arial" w:cs="Arial" w:eastAsia="Arial" w:hAnsi="Arial"/>
                <w:color w:val="C8102E"/>
                <w:sz w:val="20"/>
                <w:szCs w:val="20"/>
              </w:rPr>
              <w:t xml:space="preserve">▶</w:t>
            </w:r>
          </w:p>
        </w:tc>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3. ANALYZE</w:t>
            </w:r>
          </w:p>
          <w:p>
            <w:pPr>
              <w:spacing w:after="0"/>
              <w:jc w:val="center"/>
            </w:pPr>
            <w:r>
              <w:rPr>
                <w:rFonts w:ascii="Arial" w:cs="Arial" w:eastAsia="Arial" w:hAnsi="Arial"/>
                <w:color w:val="B0C4DE"/>
                <w:sz w:val="14"/>
                <w:szCs w:val="14"/>
              </w:rPr>
              <w:t xml:space="preserve">Identify trends, forecast needs, flag risks, and surface potential solutions (e.g., optimize sourcing across all sources of supply)</w:t>
            </w:r>
          </w:p>
        </w:tc>
        <w:tc>
          <w:tcPr>
            <w:tcW w:type="dxa" w:w="720"/>
            <w:tcBorders>
              <w:top w:val="none" w:sz="0"/>
              <w:left w:val="none" w:sz="0"/>
              <w:bottom w:val="none" w:sz="0"/>
              <w:right w:val="none" w:sz="0"/>
            </w:tcBorders>
            <w:vAlign w:val="center"/>
          </w:tcPr>
          <w:p>
            <w:pPr>
              <w:spacing w:after="0"/>
              <w:jc w:val="center"/>
            </w:pPr>
            <w:r>
              <w:rPr>
                <w:rFonts w:ascii="Arial" w:cs="Arial" w:eastAsia="Arial" w:hAnsi="Arial"/>
                <w:color w:val="C8102E"/>
                <w:sz w:val="20"/>
                <w:szCs w:val="20"/>
              </w:rPr>
              <w:t xml:space="preserve">▶</w:t>
            </w:r>
          </w:p>
        </w:tc>
        <w:tc>
          <w:tcPr>
            <w:tcW w:type="dxa" w:w="2160"/>
            <w:tcBorders>
              <w:top w:val="single" w:color="BBBBBB" w:sz="1"/>
              <w:left w:val="single" w:color="BBBBBB" w:sz="1"/>
              <w:bottom w:val="single" w:color="BBBBBB" w:sz="1"/>
              <w:right w:val="single" w:color="BBBBBB" w:sz="1"/>
            </w:tcBorders>
            <w:shd w:fill="1B3A5C" w:val="clear"/>
            <w:tcMar>
              <w:top w:type="dxa" w:w="60"/>
              <w:left w:type="dxa" w:w="80"/>
              <w:bottom w:type="dxa" w:w="60"/>
              <w:right w:type="dxa" w:w="80"/>
            </w:tcMar>
            <w:vAlign w:val="center"/>
          </w:tcPr>
          <w:p>
            <w:pPr>
              <w:spacing w:after="20"/>
              <w:jc w:val="center"/>
            </w:pPr>
            <w:r>
              <w:rPr>
                <w:rFonts w:ascii="Arial" w:cs="Arial" w:eastAsia="Arial" w:hAnsi="Arial"/>
                <w:b/>
                <w:bCs/>
                <w:color w:val="FFFFFF"/>
                <w:sz w:val="16"/>
                <w:szCs w:val="16"/>
              </w:rPr>
              <w:t xml:space="preserve">4. PRESENT</w:t>
            </w:r>
          </w:p>
          <w:p>
            <w:pPr>
              <w:spacing w:after="0"/>
              <w:jc w:val="center"/>
            </w:pPr>
            <w:r>
              <w:rPr>
                <w:rFonts w:ascii="Arial" w:cs="Arial" w:eastAsia="Arial" w:hAnsi="Arial"/>
                <w:color w:val="B0C4DE"/>
                <w:sz w:val="14"/>
                <w:szCs w:val="14"/>
              </w:rPr>
              <w:t xml:space="preserve">Dashboards, reports, and alerts for every echelon</w:t>
            </w:r>
          </w:p>
        </w:tc>
      </w:tr>
    </w:tbl>
    <w:p>
      <w:pPr>
        <w:spacing w:after="60" w:before="120"/>
      </w:pPr>
      <w:r>
        <w:rPr>
          <w:rFonts w:ascii="Arial" w:cs="Arial" w:eastAsia="Arial" w:hAnsi="Arial"/>
          <w:b/>
          <w:bCs/>
          <w:color w:val="1B3A5C"/>
          <w:sz w:val="20"/>
          <w:szCs w:val="20"/>
        </w:rPr>
        <w:t xml:space="preserve">KEY FACTS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single" w:color="BBBBBB" w:sz="1"/>
              <w:left w:val="single" w:color="BBBBBB" w:sz="1"/>
              <w:bottom w:val="single" w:color="BBBBBB" w:sz="1"/>
              <w:right w:val="single" w:color="BBBBBB" w:sz="1"/>
            </w:tcBorders>
            <w:shd w:fill="F2F4F7" w:val="clear"/>
            <w:tcMar>
              <w:top w:type="dxa" w:w="60"/>
              <w:left w:type="dxa" w:w="120"/>
              <w:bottom w:type="dxa" w:w="60"/>
              <w:right w:type="dxa" w:w="120"/>
            </w:tcMar>
          </w:tcPr>
          <w:p>
            <w:pPr>
              <w:spacing w:after="0" w:before="40"/>
            </w:pPr>
            <w:r>
              <w:rPr>
                <w:rFonts w:ascii="Arial" w:cs="Arial" w:eastAsia="Arial" w:hAnsi="Arial"/>
                <w:b/>
                <w:bCs/>
                <w:color w:val="1B3A5C"/>
                <w:sz w:val="17"/>
                <w:szCs w:val="17"/>
              </w:rPr>
              <w:t xml:space="preserve">Zero change at the tactical edge</w:t>
            </w:r>
          </w:p>
          <w:p>
            <w:pPr>
              <w:spacing w:after="40"/>
            </w:pPr>
            <w:r>
              <w:rPr>
                <w:rFonts w:ascii="Arial" w:cs="Arial" w:eastAsia="Arial" w:hAnsi="Arial"/>
                <w:color w:val="666666"/>
                <w:sz w:val="16"/>
                <w:szCs w:val="16"/>
              </w:rPr>
              <w:t xml:space="preserve">Marines keep using mIRC, Excel, TAK, and current tools</w:t>
            </w:r>
          </w:p>
          <w:p>
            <w:pPr>
              <w:spacing w:after="0" w:before="40"/>
            </w:pPr>
            <w:r>
              <w:rPr>
                <w:rFonts w:ascii="Arial" w:cs="Arial" w:eastAsia="Arial" w:hAnsi="Arial"/>
                <w:b/>
                <w:bCs/>
                <w:color w:val="1B3A5C"/>
                <w:sz w:val="17"/>
                <w:szCs w:val="17"/>
              </w:rPr>
              <w:t xml:space="preserve">No new hardware required</w:t>
            </w:r>
          </w:p>
          <w:p>
            <w:pPr>
              <w:spacing w:after="40"/>
            </w:pPr>
            <w:r>
              <w:rPr>
                <w:rFonts w:ascii="Arial" w:cs="Arial" w:eastAsia="Arial" w:hAnsi="Arial"/>
                <w:color w:val="666666"/>
                <w:sz w:val="16"/>
                <w:szCs w:val="16"/>
              </w:rPr>
              <w:t xml:space="preserve">Software-only solution using existing infrastructure</w:t>
            </w:r>
          </w:p>
          <w:p>
            <w:pPr>
              <w:spacing w:after="0" w:before="40"/>
            </w:pPr>
            <w:r>
              <w:rPr>
                <w:rFonts w:ascii="Arial" w:cs="Arial" w:eastAsia="Arial" w:hAnsi="Arial"/>
                <w:b/>
                <w:bCs/>
                <w:color w:val="1B3A5C"/>
                <w:sz w:val="17"/>
                <w:szCs w:val="17"/>
              </w:rPr>
              <w:t xml:space="preserve">Grounded in doctrine</w:t>
            </w:r>
          </w:p>
          <w:p>
            <w:pPr>
              <w:spacing w:after="40"/>
            </w:pPr>
            <w:r>
              <w:rPr>
                <w:rFonts w:ascii="Arial" w:cs="Arial" w:eastAsia="Arial" w:hAnsi="Arial"/>
                <w:color w:val="666666"/>
                <w:sz w:val="16"/>
                <w:szCs w:val="16"/>
              </w:rPr>
              <w:t xml:space="preserve">Every feature maps to MCDP 4, MCTP 3-40B/C, MCWP 4-11.3, JP 4-0</w:t>
            </w:r>
          </w:p>
        </w:tc>
        <w:tc>
          <w:tcPr>
            <w:tcW w:type="dxa" w:w="5400"/>
            <w:tcBorders>
              <w:top w:val="single" w:color="BBBBBB" w:sz="1"/>
              <w:left w:val="single" w:color="BBBBBB" w:sz="1"/>
              <w:bottom w:val="single" w:color="BBBBBB" w:sz="1"/>
              <w:right w:val="single" w:color="BBBBBB" w:sz="1"/>
            </w:tcBorders>
            <w:shd w:fill="F2F4F7" w:val="clear"/>
            <w:tcMar>
              <w:top w:type="dxa" w:w="60"/>
              <w:left w:type="dxa" w:w="120"/>
              <w:bottom w:type="dxa" w:w="60"/>
              <w:right w:type="dxa" w:w="120"/>
            </w:tcMar>
          </w:tcPr>
          <w:p>
            <w:pPr>
              <w:spacing w:after="0" w:before="40"/>
            </w:pPr>
            <w:r>
              <w:rPr>
                <w:rFonts w:ascii="Arial" w:cs="Arial" w:eastAsia="Arial" w:hAnsi="Arial"/>
                <w:b/>
                <w:bCs/>
                <w:color w:val="1B3A5C"/>
                <w:sz w:val="17"/>
                <w:szCs w:val="17"/>
              </w:rPr>
              <w:t xml:space="preserve">Integrates, doesn’t replace</w:t>
            </w:r>
          </w:p>
          <w:p>
            <w:pPr>
              <w:spacing w:after="40"/>
            </w:pPr>
            <w:r>
              <w:rPr>
                <w:rFonts w:ascii="Arial" w:cs="Arial" w:eastAsia="Arial" w:hAnsi="Arial"/>
                <w:color w:val="666666"/>
                <w:sz w:val="16"/>
                <w:szCs w:val="16"/>
              </w:rPr>
              <w:t xml:space="preserve">Works alongside GCSS-MC and existing systems of record</w:t>
            </w:r>
          </w:p>
          <w:p>
            <w:pPr>
              <w:spacing w:after="0" w:before="40"/>
            </w:pPr>
            <w:r>
              <w:rPr>
                <w:rFonts w:ascii="Arial" w:cs="Arial" w:eastAsia="Arial" w:hAnsi="Arial"/>
                <w:b/>
                <w:bCs/>
                <w:color w:val="1B3A5C"/>
                <w:sz w:val="17"/>
                <w:szCs w:val="17"/>
              </w:rPr>
              <w:t xml:space="preserve">Part of Project Dynamis</w:t>
            </w:r>
          </w:p>
          <w:p>
            <w:pPr>
              <w:spacing w:after="40"/>
            </w:pPr>
            <w:r>
              <w:rPr>
                <w:rFonts w:ascii="Arial" w:cs="Arial" w:eastAsia="Arial" w:hAnsi="Arial"/>
                <w:color w:val="666666"/>
                <w:sz w:val="16"/>
                <w:szCs w:val="16"/>
              </w:rPr>
              <w:t xml:space="preserve">KEYSTONE is the logistics intelligence component of USMC CJADC2</w:t>
            </w:r>
          </w:p>
          <w:p>
            <w:pPr>
              <w:spacing w:after="0" w:before="40"/>
            </w:pPr>
            <w:r>
              <w:rPr>
                <w:rFonts w:ascii="Arial" w:cs="Arial" w:eastAsia="Arial" w:hAnsi="Arial"/>
                <w:b/>
                <w:bCs/>
                <w:color w:val="1B3A5C"/>
                <w:sz w:val="17"/>
                <w:szCs w:val="17"/>
              </w:rPr>
              <w:t xml:space="preserve">Immediate impact</w:t>
            </w:r>
          </w:p>
          <w:p>
            <w:pPr>
              <w:spacing w:after="40"/>
            </w:pPr>
            <w:r>
              <w:rPr>
                <w:rFonts w:ascii="Arial" w:cs="Arial" w:eastAsia="Arial" w:hAnsi="Arial"/>
                <w:color w:val="666666"/>
                <w:sz w:val="16"/>
                <w:szCs w:val="16"/>
              </w:rPr>
              <w:t xml:space="preserve">Phase 1 saves S-4 shops from supported units and everyone in the LCE hours every day on report compilation</w:t>
            </w:r>
          </w:p>
        </w:tc>
      </w:tr>
    </w:tbl>
    <w:p>
      <w:pPr>
        <w:spacing w:after="0" w:before="120"/>
      </w:pP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sz="0"/>
              <w:left w:val="none" w:sz="0"/>
              <w:bottom w:val="none" w:sz="0"/>
              <w:right w:val="none" w:sz="0"/>
            </w:tcBorders>
            <w:shd w:fill="1B3A5C" w:val="clear"/>
            <w:tcMar>
              <w:top w:type="dxa" w:w="80"/>
              <w:left w:type="dxa" w:w="200"/>
              <w:bottom w:type="dxa" w:w="80"/>
              <w:right w:type="dxa" w:w="200"/>
            </w:tcMar>
          </w:tcPr>
          <w:p>
            <w:pPr>
              <w:spacing w:after="0"/>
              <w:jc w:val="center"/>
            </w:pPr>
            <w:r>
              <w:rPr>
                <w:rFonts w:ascii="Arial" w:cs="Arial" w:eastAsia="Arial" w:hAnsi="Arial"/>
                <w:b/>
                <w:bCs/>
                <w:color w:val="FFFFFF"/>
                <w:sz w:val="19"/>
                <w:szCs w:val="19"/>
              </w:rPr>
              <w:t xml:space="preserve">The Bottom Line: </w:t>
            </w:r>
            <w:r>
              <w:rPr>
                <w:rFonts w:ascii="Arial" w:cs="Arial" w:eastAsia="Arial" w:hAnsi="Arial"/>
                <w:color w:val="B0C4DE"/>
                <w:sz w:val="19"/>
                <w:szCs w:val="19"/>
              </w:rPr>
              <w:t xml:space="preserve">KEYSTONE doesn’t change how Marines operate in the field. It makes sense of the data they’re already generating.</w:t>
            </w:r>
          </w:p>
          <w:p>
            <w:pPr>
              <w:spacing w:after="0" w:before="60"/>
              <w:jc w:val="center"/>
            </w:pPr>
            <w:r>
              <w:rPr>
                <w:rFonts w:ascii="Arial" w:cs="Arial" w:eastAsia="Arial" w:hAnsi="Arial"/>
                <w:color w:val="7A8BA0"/>
                <w:sz w:val="14"/>
                <w:szCs w:val="14"/>
              </w:rPr>
              <w:t xml:space="preserve">DRAFT — March 2026  |  KEYSTONE  |  A Project Dynamis Component  |  USMC CJADC2</w:t>
            </w:r>
          </w:p>
        </w:tc>
      </w:tr>
    </w:tbl>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2026-03-04T17:02:43.161Z</dcterms:created>
  <dcterms:modified xsi:type="dcterms:W3CDTF">2026-03-04T17:02:43.161Z</dcterms:modified>
</cp:coreProperties>
</file>

<file path=docProps/custom.xml><?xml version="1.0" encoding="utf-8"?>
<Properties xmlns="http://schemas.openxmlformats.org/officeDocument/2006/custom-properties" xmlns:vt="http://schemas.openxmlformats.org/officeDocument/2006/docPropsVTypes"/>
</file>