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D2D" w:rsidRPr="0007551C" w:rsidRDefault="000E6A8F">
      <w:pPr>
        <w:rPr>
          <w:rFonts w:ascii="Arial" w:hAnsi="Arial" w:cs="Arial"/>
          <w:b/>
        </w:rPr>
      </w:pPr>
      <w:r w:rsidRPr="0007551C">
        <w:rPr>
          <w:rFonts w:ascii="Arial" w:hAnsi="Arial" w:cs="Arial"/>
          <w:b/>
        </w:rPr>
        <w:t>Capture Planning</w:t>
      </w:r>
    </w:p>
    <w:p w:rsidR="009F7484" w:rsidRPr="0007551C" w:rsidRDefault="009F7484" w:rsidP="009F7484">
      <w:pPr>
        <w:spacing w:line="240" w:lineRule="auto"/>
        <w:rPr>
          <w:rFonts w:ascii="Arial" w:hAnsi="Arial" w:cs="Arial"/>
          <w:b/>
        </w:rPr>
      </w:pPr>
      <w:r w:rsidRPr="0007551C">
        <w:rPr>
          <w:rFonts w:ascii="Arial" w:hAnsi="Arial" w:cs="Arial"/>
          <w:b/>
        </w:rPr>
        <w:t>Guidance</w:t>
      </w:r>
    </w:p>
    <w:p w:rsidR="009F7484" w:rsidRPr="005F6539" w:rsidRDefault="009F7484" w:rsidP="005F6539">
      <w:pPr>
        <w:pStyle w:val="NoSpacing"/>
        <w:numPr>
          <w:ilvl w:val="0"/>
          <w:numId w:val="1"/>
        </w:numPr>
        <w:rPr>
          <w:rFonts w:ascii="Arial" w:hAnsi="Arial" w:cs="Arial"/>
        </w:rPr>
      </w:pPr>
      <w:r w:rsidRPr="005F6539">
        <w:rPr>
          <w:rFonts w:ascii="Arial" w:hAnsi="Arial" w:cs="Arial"/>
        </w:rPr>
        <w:t xml:space="preserve">The capture plan should start to be developed at the earliest opportunity, and regularly updated as new relevant information becomes available. </w:t>
      </w:r>
    </w:p>
    <w:p w:rsidR="009F7484" w:rsidRPr="005F6539" w:rsidRDefault="009F7484" w:rsidP="005F6539">
      <w:pPr>
        <w:pStyle w:val="NoSpacing"/>
        <w:numPr>
          <w:ilvl w:val="0"/>
          <w:numId w:val="1"/>
        </w:numPr>
        <w:rPr>
          <w:rFonts w:ascii="Arial" w:hAnsi="Arial" w:cs="Arial"/>
        </w:rPr>
      </w:pPr>
      <w:r w:rsidRPr="005F6539">
        <w:rPr>
          <w:rFonts w:ascii="Arial" w:hAnsi="Arial" w:cs="Arial"/>
        </w:rPr>
        <w:t xml:space="preserve">The second column on the table provides prompts of the type of information that would be expected within this document. </w:t>
      </w:r>
    </w:p>
    <w:p w:rsidR="009F7484" w:rsidRPr="005F6539" w:rsidRDefault="009F7484" w:rsidP="005F6539">
      <w:pPr>
        <w:pStyle w:val="NoSpacing"/>
        <w:numPr>
          <w:ilvl w:val="0"/>
          <w:numId w:val="1"/>
        </w:numPr>
        <w:rPr>
          <w:rFonts w:ascii="Arial" w:hAnsi="Arial" w:cs="Arial"/>
        </w:rPr>
      </w:pPr>
      <w:r w:rsidRPr="005F6539">
        <w:rPr>
          <w:rFonts w:ascii="Arial" w:hAnsi="Arial" w:cs="Arial"/>
        </w:rPr>
        <w:t xml:space="preserve">The final column provides the opportunity to embed further information into the capture plan, including market assessments, commissioner intentions etc. </w:t>
      </w:r>
    </w:p>
    <w:p w:rsidR="009F7484" w:rsidRDefault="009F7484" w:rsidP="005F6539">
      <w:pPr>
        <w:pStyle w:val="NoSpacing"/>
        <w:numPr>
          <w:ilvl w:val="0"/>
          <w:numId w:val="1"/>
        </w:numPr>
        <w:rPr>
          <w:rFonts w:ascii="Arial" w:hAnsi="Arial" w:cs="Arial"/>
        </w:rPr>
      </w:pPr>
      <w:r w:rsidRPr="005F6539">
        <w:rPr>
          <w:rFonts w:ascii="Arial" w:hAnsi="Arial" w:cs="Arial"/>
        </w:rPr>
        <w:t xml:space="preserve">The information from the capture plan will feed into other documentation such as the Opportunity Decision Point </w:t>
      </w:r>
      <w:r w:rsidR="005F6539">
        <w:rPr>
          <w:rFonts w:ascii="Arial" w:hAnsi="Arial" w:cs="Arial"/>
        </w:rPr>
        <w:t xml:space="preserve">(ODP) </w:t>
      </w:r>
      <w:r w:rsidRPr="005F6539">
        <w:rPr>
          <w:rFonts w:ascii="Arial" w:hAnsi="Arial" w:cs="Arial"/>
        </w:rPr>
        <w:t>and the Bid strategy (Win Themes).</w:t>
      </w:r>
    </w:p>
    <w:p w:rsidR="005F6539" w:rsidRPr="005F6539" w:rsidRDefault="005F6539" w:rsidP="005F6539">
      <w:pPr>
        <w:pStyle w:val="NoSpacing"/>
        <w:ind w:left="720"/>
        <w:rPr>
          <w:rFonts w:ascii="Arial" w:hAnsi="Arial" w:cs="Arial"/>
        </w:rPr>
      </w:pPr>
    </w:p>
    <w:tbl>
      <w:tblPr>
        <w:tblStyle w:val="TableGrid"/>
        <w:tblW w:w="14567" w:type="dxa"/>
        <w:tblLook w:val="04A0" w:firstRow="1" w:lastRow="0" w:firstColumn="1" w:lastColumn="0" w:noHBand="0" w:noVBand="1"/>
      </w:tblPr>
      <w:tblGrid>
        <w:gridCol w:w="1745"/>
        <w:gridCol w:w="2423"/>
        <w:gridCol w:w="6123"/>
        <w:gridCol w:w="1583"/>
        <w:gridCol w:w="2693"/>
      </w:tblGrid>
      <w:tr w:rsidR="00790631" w:rsidRPr="0007551C" w:rsidTr="005F6539">
        <w:tc>
          <w:tcPr>
            <w:tcW w:w="10291" w:type="dxa"/>
            <w:gridSpan w:val="3"/>
            <w:shd w:val="clear" w:color="auto" w:fill="0070C0"/>
          </w:tcPr>
          <w:p w:rsidR="00790631" w:rsidRPr="0007551C" w:rsidRDefault="00790631">
            <w:pPr>
              <w:rPr>
                <w:rFonts w:ascii="Arial" w:hAnsi="Arial" w:cs="Arial"/>
                <w:b/>
              </w:rPr>
            </w:pPr>
            <w:r w:rsidRPr="005F6539">
              <w:rPr>
                <w:rFonts w:ascii="Arial" w:hAnsi="Arial" w:cs="Arial"/>
                <w:b/>
                <w:color w:val="FFFFFF" w:themeColor="background1"/>
              </w:rPr>
              <w:t>External Analysis</w:t>
            </w:r>
          </w:p>
        </w:tc>
        <w:tc>
          <w:tcPr>
            <w:tcW w:w="1583" w:type="dxa"/>
          </w:tcPr>
          <w:p w:rsidR="00790631" w:rsidRPr="0007551C" w:rsidRDefault="00790631">
            <w:pPr>
              <w:rPr>
                <w:rFonts w:ascii="Arial" w:hAnsi="Arial" w:cs="Arial"/>
                <w:b/>
              </w:rPr>
            </w:pPr>
            <w:r>
              <w:rPr>
                <w:rFonts w:ascii="Arial" w:hAnsi="Arial" w:cs="Arial"/>
                <w:b/>
              </w:rPr>
              <w:t>Named Lead</w:t>
            </w:r>
          </w:p>
        </w:tc>
        <w:tc>
          <w:tcPr>
            <w:tcW w:w="2693" w:type="dxa"/>
          </w:tcPr>
          <w:p w:rsidR="00790631" w:rsidRPr="0007551C" w:rsidRDefault="00790631">
            <w:pPr>
              <w:rPr>
                <w:rFonts w:ascii="Arial" w:hAnsi="Arial" w:cs="Arial"/>
                <w:b/>
              </w:rPr>
            </w:pPr>
            <w:r w:rsidRPr="0007551C">
              <w:rPr>
                <w:rFonts w:ascii="Arial" w:hAnsi="Arial" w:cs="Arial"/>
                <w:b/>
              </w:rPr>
              <w:t>Notes/ Actions/ Attachments</w:t>
            </w:r>
          </w:p>
        </w:tc>
      </w:tr>
      <w:tr w:rsidR="00790631" w:rsidRPr="0007551C" w:rsidTr="00790631">
        <w:tc>
          <w:tcPr>
            <w:tcW w:w="1745" w:type="dxa"/>
          </w:tcPr>
          <w:p w:rsidR="00790631" w:rsidRPr="0007551C" w:rsidRDefault="00790631">
            <w:pPr>
              <w:rPr>
                <w:rFonts w:ascii="Arial" w:hAnsi="Arial" w:cs="Arial"/>
                <w:b/>
              </w:rPr>
            </w:pPr>
            <w:r w:rsidRPr="0007551C">
              <w:rPr>
                <w:rFonts w:ascii="Arial" w:hAnsi="Arial" w:cs="Arial"/>
                <w:b/>
              </w:rPr>
              <w:t>Area</w:t>
            </w:r>
          </w:p>
        </w:tc>
        <w:tc>
          <w:tcPr>
            <w:tcW w:w="2423" w:type="dxa"/>
          </w:tcPr>
          <w:p w:rsidR="00790631" w:rsidRPr="0007551C" w:rsidRDefault="00790631">
            <w:pPr>
              <w:rPr>
                <w:rFonts w:ascii="Arial" w:hAnsi="Arial" w:cs="Arial"/>
                <w:b/>
              </w:rPr>
            </w:pPr>
            <w:r w:rsidRPr="0007551C">
              <w:rPr>
                <w:rFonts w:ascii="Arial" w:hAnsi="Arial" w:cs="Arial"/>
                <w:b/>
              </w:rPr>
              <w:t>Guidance/ Prompts</w:t>
            </w:r>
          </w:p>
          <w:p w:rsidR="00790631" w:rsidRPr="0007551C" w:rsidRDefault="00790631">
            <w:pPr>
              <w:rPr>
                <w:rFonts w:ascii="Arial" w:hAnsi="Arial" w:cs="Arial"/>
                <w:i/>
              </w:rPr>
            </w:pPr>
            <w:r w:rsidRPr="0007551C">
              <w:rPr>
                <w:rFonts w:ascii="Arial" w:hAnsi="Arial" w:cs="Arial"/>
                <w:i/>
              </w:rPr>
              <w:t>(To be deleted before presenting the Capture Plan)</w:t>
            </w:r>
          </w:p>
        </w:tc>
        <w:tc>
          <w:tcPr>
            <w:tcW w:w="6123" w:type="dxa"/>
          </w:tcPr>
          <w:p w:rsidR="00790631" w:rsidRPr="0007551C" w:rsidRDefault="00790631">
            <w:pPr>
              <w:rPr>
                <w:rFonts w:ascii="Arial" w:hAnsi="Arial" w:cs="Arial"/>
                <w:b/>
              </w:rPr>
            </w:pPr>
            <w:r w:rsidRPr="0007551C">
              <w:rPr>
                <w:rFonts w:ascii="Arial" w:hAnsi="Arial" w:cs="Arial"/>
                <w:b/>
              </w:rPr>
              <w:t>Analysis</w:t>
            </w: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Opportunity Description</w:t>
            </w:r>
          </w:p>
        </w:tc>
        <w:tc>
          <w:tcPr>
            <w:tcW w:w="2423" w:type="dxa"/>
          </w:tcPr>
          <w:p w:rsidR="00790631" w:rsidRPr="0007551C" w:rsidRDefault="00790631" w:rsidP="00CF6873">
            <w:pPr>
              <w:rPr>
                <w:rFonts w:ascii="Arial" w:hAnsi="Arial" w:cs="Arial"/>
                <w:i/>
              </w:rPr>
            </w:pPr>
            <w:r w:rsidRPr="0007551C">
              <w:rPr>
                <w:rFonts w:ascii="Arial" w:hAnsi="Arial" w:cs="Arial"/>
                <w:i/>
              </w:rPr>
              <w:t>Name</w:t>
            </w:r>
          </w:p>
          <w:p w:rsidR="00790631" w:rsidRPr="0007551C" w:rsidRDefault="00790631" w:rsidP="00CF6873">
            <w:pPr>
              <w:rPr>
                <w:rFonts w:ascii="Arial" w:hAnsi="Arial" w:cs="Arial"/>
                <w:i/>
              </w:rPr>
            </w:pPr>
            <w:r w:rsidRPr="0007551C">
              <w:rPr>
                <w:rFonts w:ascii="Arial" w:hAnsi="Arial" w:cs="Arial"/>
                <w:i/>
              </w:rPr>
              <w:t>Background</w:t>
            </w:r>
          </w:p>
          <w:p w:rsidR="00790631" w:rsidRPr="0007551C" w:rsidRDefault="00790631" w:rsidP="00CF6873">
            <w:pPr>
              <w:rPr>
                <w:rFonts w:ascii="Arial" w:hAnsi="Arial" w:cs="Arial"/>
                <w:i/>
              </w:rPr>
            </w:pPr>
            <w:r w:rsidRPr="0007551C">
              <w:rPr>
                <w:rFonts w:ascii="Arial" w:hAnsi="Arial" w:cs="Arial"/>
                <w:i/>
              </w:rPr>
              <w:t>How it Connects to Strategy of Commissioner</w:t>
            </w:r>
          </w:p>
          <w:p w:rsidR="00790631" w:rsidRPr="0007551C" w:rsidRDefault="00790631" w:rsidP="00CF6873">
            <w:pPr>
              <w:rPr>
                <w:rFonts w:ascii="Arial" w:hAnsi="Arial" w:cs="Arial"/>
                <w:i/>
              </w:rPr>
            </w:pPr>
            <w:r w:rsidRPr="0007551C">
              <w:rPr>
                <w:rFonts w:ascii="Arial" w:hAnsi="Arial" w:cs="Arial"/>
                <w:i/>
              </w:rPr>
              <w:t>Key Requirements of the commissioner</w:t>
            </w:r>
          </w:p>
          <w:p w:rsidR="00790631" w:rsidRPr="0007551C" w:rsidRDefault="00790631" w:rsidP="00CF6873">
            <w:pPr>
              <w:rPr>
                <w:rFonts w:ascii="Arial" w:hAnsi="Arial" w:cs="Arial"/>
                <w:i/>
              </w:rPr>
            </w:pPr>
            <w:r w:rsidRPr="0007551C">
              <w:rPr>
                <w:rFonts w:ascii="Arial" w:hAnsi="Arial" w:cs="Arial"/>
                <w:i/>
              </w:rPr>
              <w:t>Deliverable</w:t>
            </w:r>
          </w:p>
          <w:p w:rsidR="00790631" w:rsidRPr="0007551C" w:rsidRDefault="00790631" w:rsidP="00CF6873">
            <w:pPr>
              <w:rPr>
                <w:rFonts w:ascii="Arial" w:hAnsi="Arial" w:cs="Arial"/>
                <w:i/>
              </w:rPr>
            </w:pPr>
            <w:r w:rsidRPr="0007551C">
              <w:rPr>
                <w:rFonts w:ascii="Arial" w:hAnsi="Arial" w:cs="Arial"/>
                <w:i/>
              </w:rPr>
              <w:t>Schedule</w:t>
            </w:r>
          </w:p>
        </w:tc>
        <w:tc>
          <w:tcPr>
            <w:tcW w:w="6123" w:type="dxa"/>
          </w:tcPr>
          <w:p w:rsidR="00790631" w:rsidRDefault="00D108E9">
            <w:pPr>
              <w:rPr>
                <w:rFonts w:ascii="Arial" w:hAnsi="Arial" w:cs="Arial"/>
              </w:rPr>
            </w:pPr>
            <w:r>
              <w:rPr>
                <w:rFonts w:ascii="Arial" w:hAnsi="Arial" w:cs="Arial"/>
              </w:rPr>
              <w:t>INT HMR</w:t>
            </w:r>
          </w:p>
          <w:p w:rsidR="00D108E9" w:rsidRPr="0007551C" w:rsidRDefault="00D108E9" w:rsidP="00D108E9">
            <w:pPr>
              <w:rPr>
                <w:rFonts w:ascii="Arial" w:hAnsi="Arial" w:cs="Arial"/>
              </w:rPr>
            </w:pPr>
            <w:r>
              <w:rPr>
                <w:rFonts w:ascii="Arial" w:hAnsi="Arial" w:cs="Arial"/>
              </w:rPr>
              <w:t xml:space="preserve">TUPE will apply, service currently in place-jointly commissioned with local authority &amp; CCG. We don’t </w:t>
            </w:r>
            <w:r w:rsidR="00667CC1">
              <w:rPr>
                <w:rFonts w:ascii="Arial" w:hAnsi="Arial" w:cs="Arial"/>
              </w:rPr>
              <w:t>have any service present in the</w:t>
            </w:r>
            <w:r>
              <w:rPr>
                <w:rFonts w:ascii="Arial" w:hAnsi="Arial" w:cs="Arial"/>
              </w:rPr>
              <w:t xml:space="preserve"> </w:t>
            </w:r>
            <w:r w:rsidR="00667CC1">
              <w:rPr>
                <w:rFonts w:ascii="Arial" w:hAnsi="Arial" w:cs="Arial"/>
              </w:rPr>
              <w:t xml:space="preserve">patch. Open day with colleagues from the local authority to be arranged. We would be sent information start of </w:t>
            </w:r>
            <w:proofErr w:type="spellStart"/>
            <w:r w:rsidR="00667CC1">
              <w:rPr>
                <w:rFonts w:ascii="Arial" w:hAnsi="Arial" w:cs="Arial"/>
              </w:rPr>
              <w:t>September.Chase</w:t>
            </w:r>
            <w:proofErr w:type="spellEnd"/>
            <w:r w:rsidR="00667CC1">
              <w:rPr>
                <w:rFonts w:ascii="Arial" w:hAnsi="Arial" w:cs="Arial"/>
              </w:rPr>
              <w:t xml:space="preserve"> slides &amp; info from the bidder event-</w:t>
            </w:r>
            <w:r w:rsidR="00667CC1" w:rsidRPr="00667CC1">
              <w:rPr>
                <w:rFonts w:ascii="Arial" w:hAnsi="Arial" w:cs="Arial"/>
                <w:highlight w:val="yellow"/>
              </w:rPr>
              <w:t>ASK STEPH!!</w:t>
            </w:r>
            <w:r w:rsidR="000C6423">
              <w:rPr>
                <w:rFonts w:ascii="Arial" w:hAnsi="Arial" w:cs="Arial"/>
              </w:rPr>
              <w:t xml:space="preserve"> Voluntary/community/faith sectors discussed at bidder event a lot, requirement for local providers.</w:t>
            </w:r>
            <w:r w:rsidR="00623454">
              <w:rPr>
                <w:rFonts w:ascii="Arial" w:hAnsi="Arial" w:cs="Arial"/>
              </w:rPr>
              <w:t xml:space="preserve"> 38 GP surgeries likely to reduce to 36. Possibly 3+2 years or 5+2 years contract (block contract). </w:t>
            </w: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Commissioner Analysis</w:t>
            </w:r>
          </w:p>
        </w:tc>
        <w:tc>
          <w:tcPr>
            <w:tcW w:w="2423" w:type="dxa"/>
          </w:tcPr>
          <w:p w:rsidR="00790631" w:rsidRPr="0007551C" w:rsidRDefault="00790631">
            <w:pPr>
              <w:rPr>
                <w:rFonts w:ascii="Arial" w:hAnsi="Arial" w:cs="Arial"/>
                <w:i/>
              </w:rPr>
            </w:pPr>
            <w:r w:rsidRPr="0007551C">
              <w:rPr>
                <w:rFonts w:ascii="Arial" w:hAnsi="Arial" w:cs="Arial"/>
                <w:i/>
              </w:rPr>
              <w:t>Information from stakeholder analysis</w:t>
            </w:r>
          </w:p>
          <w:p w:rsidR="00790631" w:rsidRPr="0007551C" w:rsidRDefault="00790631">
            <w:pPr>
              <w:rPr>
                <w:rFonts w:ascii="Arial" w:hAnsi="Arial" w:cs="Arial"/>
                <w:i/>
              </w:rPr>
            </w:pPr>
            <w:r w:rsidRPr="0007551C">
              <w:rPr>
                <w:rFonts w:ascii="Arial" w:hAnsi="Arial" w:cs="Arial"/>
                <w:i/>
              </w:rPr>
              <w:t>Organisational information and power structure</w:t>
            </w:r>
          </w:p>
          <w:p w:rsidR="00790631" w:rsidRPr="0007551C" w:rsidRDefault="00790631">
            <w:pPr>
              <w:rPr>
                <w:rFonts w:ascii="Arial" w:hAnsi="Arial" w:cs="Arial"/>
                <w:i/>
              </w:rPr>
            </w:pPr>
            <w:r w:rsidRPr="0007551C">
              <w:rPr>
                <w:rFonts w:ascii="Arial" w:hAnsi="Arial" w:cs="Arial"/>
                <w:i/>
              </w:rPr>
              <w:t xml:space="preserve">Key decision makers, </w:t>
            </w:r>
            <w:r w:rsidRPr="0007551C">
              <w:rPr>
                <w:rFonts w:ascii="Arial" w:hAnsi="Arial" w:cs="Arial"/>
                <w:i/>
              </w:rPr>
              <w:lastRenderedPageBreak/>
              <w:t>drivers and influencers</w:t>
            </w:r>
          </w:p>
          <w:p w:rsidR="00790631" w:rsidRPr="0007551C" w:rsidRDefault="00790631">
            <w:pPr>
              <w:rPr>
                <w:rFonts w:ascii="Arial" w:hAnsi="Arial" w:cs="Arial"/>
                <w:i/>
              </w:rPr>
            </w:pPr>
            <w:r w:rsidRPr="0007551C">
              <w:rPr>
                <w:rFonts w:ascii="Arial" w:hAnsi="Arial" w:cs="Arial"/>
                <w:i/>
              </w:rPr>
              <w:t>Commissioning process</w:t>
            </w:r>
          </w:p>
          <w:p w:rsidR="00790631" w:rsidRPr="0007551C" w:rsidRDefault="00790631">
            <w:pPr>
              <w:rPr>
                <w:rFonts w:ascii="Arial" w:hAnsi="Arial" w:cs="Arial"/>
                <w:i/>
              </w:rPr>
            </w:pPr>
            <w:r w:rsidRPr="0007551C">
              <w:rPr>
                <w:rFonts w:ascii="Arial" w:hAnsi="Arial" w:cs="Arial"/>
                <w:i/>
              </w:rPr>
              <w:t>Evaluation process (Quality/ Finance)</w:t>
            </w:r>
          </w:p>
          <w:p w:rsidR="00790631" w:rsidRPr="0007551C" w:rsidRDefault="00790631">
            <w:pPr>
              <w:rPr>
                <w:rFonts w:ascii="Arial" w:hAnsi="Arial" w:cs="Arial"/>
                <w:i/>
              </w:rPr>
            </w:pPr>
            <w:r w:rsidRPr="0007551C">
              <w:rPr>
                <w:rFonts w:ascii="Arial" w:hAnsi="Arial" w:cs="Arial"/>
                <w:i/>
              </w:rPr>
              <w:t>Hot Buttons and Issues</w:t>
            </w:r>
          </w:p>
          <w:p w:rsidR="00790631" w:rsidRPr="0007551C" w:rsidRDefault="00790631">
            <w:pPr>
              <w:rPr>
                <w:rFonts w:ascii="Arial" w:hAnsi="Arial" w:cs="Arial"/>
                <w:i/>
              </w:rPr>
            </w:pPr>
            <w:r w:rsidRPr="0007551C">
              <w:rPr>
                <w:rFonts w:ascii="Arial" w:hAnsi="Arial" w:cs="Arial"/>
                <w:i/>
              </w:rPr>
              <w:t>Commissioner Satisfaction Feedback – State of current relationships</w:t>
            </w:r>
          </w:p>
        </w:tc>
        <w:tc>
          <w:tcPr>
            <w:tcW w:w="6123" w:type="dxa"/>
          </w:tcPr>
          <w:p w:rsidR="00790631" w:rsidRPr="0007551C" w:rsidRDefault="00D108E9">
            <w:pPr>
              <w:rPr>
                <w:rFonts w:ascii="Arial" w:hAnsi="Arial" w:cs="Arial"/>
              </w:rPr>
            </w:pPr>
            <w:r>
              <w:rPr>
                <w:rFonts w:ascii="Arial" w:hAnsi="Arial" w:cs="Arial"/>
              </w:rPr>
              <w:lastRenderedPageBreak/>
              <w:t xml:space="preserve">. Commissioners don’t really </w:t>
            </w:r>
            <w:proofErr w:type="gramStart"/>
            <w:r>
              <w:rPr>
                <w:rFonts w:ascii="Arial" w:hAnsi="Arial" w:cs="Arial"/>
              </w:rPr>
              <w:t>know,</w:t>
            </w:r>
            <w:proofErr w:type="gramEnd"/>
            <w:r>
              <w:rPr>
                <w:rFonts w:ascii="Arial" w:hAnsi="Arial" w:cs="Arial"/>
              </w:rPr>
              <w:t xml:space="preserve"> no direct relationships with any of our execs. May have provider relationships i.e. provider Chief exec events etc.</w:t>
            </w:r>
            <w:r>
              <w:rPr>
                <w:rFonts w:ascii="Arial" w:hAnsi="Arial" w:cs="Arial"/>
              </w:rPr>
              <w:t xml:space="preserve"> Likely require lead contracting arrangement.</w:t>
            </w:r>
            <w:r w:rsidR="000C6423">
              <w:rPr>
                <w:rFonts w:ascii="Arial" w:hAnsi="Arial" w:cs="Arial"/>
              </w:rPr>
              <w:t xml:space="preserve"> Disappointment noted in LCFT pulling out last time. ? Chris Woods already arranging a meeting up with Steve Taylor-Divisional Director of </w:t>
            </w:r>
            <w:r w:rsidR="000C6423">
              <w:rPr>
                <w:rFonts w:ascii="Arial" w:hAnsi="Arial" w:cs="Arial"/>
              </w:rPr>
              <w:lastRenderedPageBreak/>
              <w:t xml:space="preserve">integrated services at the acute trust. What current contracts do they currently have? CCG 2 year operational plan-Can we get a copy of that?? Should be online, have a look at some of the performance reports from their board meetings. National stats on end of life </w:t>
            </w:r>
            <w:r w:rsidR="00AA3343">
              <w:rPr>
                <w:rFonts w:ascii="Arial" w:hAnsi="Arial" w:cs="Arial"/>
              </w:rPr>
              <w:t>etc.</w:t>
            </w:r>
            <w:r w:rsidR="000C6423">
              <w:rPr>
                <w:rFonts w:ascii="Arial" w:hAnsi="Arial" w:cs="Arial"/>
              </w:rPr>
              <w:t xml:space="preserve">, would be included in the tender in we could put forward we could reduce admissions by x% admission. GPs seeing a big increase on people attending GPs in complete isolation. ? Scope and understand </w:t>
            </w:r>
            <w:proofErr w:type="gramStart"/>
            <w:r w:rsidR="000C6423">
              <w:rPr>
                <w:rFonts w:ascii="Arial" w:hAnsi="Arial" w:cs="Arial"/>
              </w:rPr>
              <w:t>what</w:t>
            </w:r>
            <w:r w:rsidR="00AA3343">
              <w:rPr>
                <w:rFonts w:ascii="Arial" w:hAnsi="Arial" w:cs="Arial"/>
              </w:rPr>
              <w:t>’</w:t>
            </w:r>
            <w:r w:rsidR="000C6423">
              <w:rPr>
                <w:rFonts w:ascii="Arial" w:hAnsi="Arial" w:cs="Arial"/>
              </w:rPr>
              <w:t>s the community off</w:t>
            </w:r>
            <w:r w:rsidR="00AA3343">
              <w:rPr>
                <w:rFonts w:ascii="Arial" w:hAnsi="Arial" w:cs="Arial"/>
              </w:rPr>
              <w:t>er</w:t>
            </w:r>
            <w:r w:rsidR="000C6423">
              <w:rPr>
                <w:rFonts w:ascii="Arial" w:hAnsi="Arial" w:cs="Arial"/>
              </w:rPr>
              <w:t xml:space="preserve"> of INT teams, </w:t>
            </w:r>
            <w:r w:rsidR="00AA3343">
              <w:rPr>
                <w:rFonts w:ascii="Arial" w:hAnsi="Arial" w:cs="Arial"/>
              </w:rPr>
              <w:t>i.e.</w:t>
            </w:r>
            <w:r w:rsidR="000C6423">
              <w:rPr>
                <w:rFonts w:ascii="Arial" w:hAnsi="Arial" w:cs="Arial"/>
              </w:rPr>
              <w:t xml:space="preserve"> 24/7 working </w:t>
            </w:r>
            <w:proofErr w:type="spellStart"/>
            <w:r w:rsidR="000C6423">
              <w:rPr>
                <w:rFonts w:ascii="Arial" w:hAnsi="Arial" w:cs="Arial"/>
              </w:rPr>
              <w:t>etc</w:t>
            </w:r>
            <w:proofErr w:type="spellEnd"/>
            <w:proofErr w:type="gramEnd"/>
            <w:r w:rsidR="000C6423">
              <w:rPr>
                <w:rFonts w:ascii="Arial" w:hAnsi="Arial" w:cs="Arial"/>
              </w:rPr>
              <w:t>? Need a discussion around technology, how will the GPs access, one single phone line etc. Currently our technology isn’t great, not an integrated care record</w:t>
            </w:r>
            <w:r w:rsidR="00623454">
              <w:rPr>
                <w:rFonts w:ascii="Arial" w:hAnsi="Arial" w:cs="Arial"/>
              </w:rPr>
              <w:t>, understand risk stratification tool. IT a big influence particularly around telehealth &amp; telecare.</w:t>
            </w: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lastRenderedPageBreak/>
              <w:t>Competitive Analysis</w:t>
            </w:r>
          </w:p>
        </w:tc>
        <w:tc>
          <w:tcPr>
            <w:tcW w:w="2423" w:type="dxa"/>
          </w:tcPr>
          <w:p w:rsidR="00790631" w:rsidRDefault="00790631">
            <w:pPr>
              <w:rPr>
                <w:rFonts w:ascii="Arial" w:hAnsi="Arial" w:cs="Arial"/>
                <w:i/>
                <w:color w:val="FFFFFF" w:themeColor="background1"/>
              </w:rPr>
            </w:pPr>
            <w:r w:rsidRPr="0007551C">
              <w:rPr>
                <w:rFonts w:ascii="Arial" w:hAnsi="Arial" w:cs="Arial"/>
                <w:i/>
              </w:rPr>
              <w:t xml:space="preserve">Market Analysis, SWOT analysis, Expected approach and strategy of competitors. Competitor strengths and weaknesses. </w:t>
            </w:r>
            <w:r w:rsidRPr="005F6539">
              <w:rPr>
                <w:rFonts w:ascii="Arial" w:hAnsi="Arial" w:cs="Arial"/>
                <w:i/>
                <w:highlight w:val="lightGray"/>
              </w:rPr>
              <w:t>Integrated solution analysis worksheet</w:t>
            </w:r>
          </w:p>
          <w:p w:rsidR="00790631" w:rsidRPr="00666897" w:rsidRDefault="00790631">
            <w:pPr>
              <w:rPr>
                <w:rFonts w:ascii="Arial" w:hAnsi="Arial" w:cs="Arial"/>
                <w:i/>
              </w:rPr>
            </w:pPr>
            <w:r>
              <w:rPr>
                <w:rFonts w:ascii="Arial" w:hAnsi="Arial" w:cs="Arial"/>
                <w:i/>
              </w:rPr>
              <w:t>Consideration for Partnerships/ Subcontractors</w:t>
            </w:r>
          </w:p>
        </w:tc>
        <w:tc>
          <w:tcPr>
            <w:tcW w:w="6123" w:type="dxa"/>
          </w:tcPr>
          <w:p w:rsidR="00790631" w:rsidRPr="0007551C" w:rsidRDefault="00D108E9">
            <w:pPr>
              <w:rPr>
                <w:rFonts w:ascii="Arial" w:hAnsi="Arial" w:cs="Arial"/>
              </w:rPr>
            </w:pPr>
            <w:r>
              <w:rPr>
                <w:rFonts w:ascii="Arial" w:hAnsi="Arial" w:cs="Arial"/>
              </w:rPr>
              <w:t xml:space="preserve">Find out who their current community provider is at present? Pooling better care money for 2015/16 £18 million, need to think about finding a partner with a social care provider (Horizon scanning required-GAP). Last time we talked to health care at home, may still be useful. </w:t>
            </w:r>
            <w:r w:rsidR="00623454">
              <w:rPr>
                <w:rFonts w:ascii="Arial" w:hAnsi="Arial" w:cs="Arial"/>
              </w:rPr>
              <w:t>Contact local council to analyse housing stats.</w:t>
            </w:r>
            <w:r w:rsidR="00AA3343">
              <w:rPr>
                <w:rFonts w:ascii="Arial" w:hAnsi="Arial" w:cs="Arial"/>
              </w:rPr>
              <w:t xml:space="preserve"> KEY GAP- social care element. Also useful to find out </w:t>
            </w:r>
            <w:proofErr w:type="gramStart"/>
            <w:r w:rsidR="00AA3343">
              <w:rPr>
                <w:rFonts w:ascii="Arial" w:hAnsi="Arial" w:cs="Arial"/>
              </w:rPr>
              <w:t>who</w:t>
            </w:r>
            <w:proofErr w:type="gramEnd"/>
            <w:r w:rsidR="00AA3343">
              <w:rPr>
                <w:rFonts w:ascii="Arial" w:hAnsi="Arial" w:cs="Arial"/>
              </w:rPr>
              <w:t xml:space="preserve"> the council is in the area and possibly meet. Work required to investigate estate in the area?</w:t>
            </w:r>
            <w:bookmarkStart w:id="0" w:name="_GoBack"/>
            <w:bookmarkEnd w:id="0"/>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5F6539">
        <w:tc>
          <w:tcPr>
            <w:tcW w:w="10291" w:type="dxa"/>
            <w:gridSpan w:val="3"/>
            <w:shd w:val="clear" w:color="auto" w:fill="0070C0"/>
          </w:tcPr>
          <w:p w:rsidR="00790631" w:rsidRPr="0007551C" w:rsidRDefault="00790631">
            <w:pPr>
              <w:rPr>
                <w:rFonts w:ascii="Arial" w:hAnsi="Arial" w:cs="Arial"/>
                <w:b/>
              </w:rPr>
            </w:pPr>
            <w:r w:rsidRPr="005F6539">
              <w:rPr>
                <w:rFonts w:ascii="Arial" w:hAnsi="Arial" w:cs="Arial"/>
                <w:b/>
                <w:color w:val="FFFFFF" w:themeColor="background1"/>
              </w:rPr>
              <w:t>Internal Analysis</w:t>
            </w:r>
          </w:p>
        </w:tc>
        <w:tc>
          <w:tcPr>
            <w:tcW w:w="1583" w:type="dxa"/>
          </w:tcPr>
          <w:p w:rsidR="00790631" w:rsidRPr="0007551C" w:rsidRDefault="00790631">
            <w:pPr>
              <w:rPr>
                <w:rFonts w:ascii="Arial" w:hAnsi="Arial" w:cs="Arial"/>
                <w:b/>
              </w:rPr>
            </w:pPr>
          </w:p>
        </w:tc>
        <w:tc>
          <w:tcPr>
            <w:tcW w:w="2693" w:type="dxa"/>
          </w:tcPr>
          <w:p w:rsidR="00790631" w:rsidRPr="0007551C" w:rsidRDefault="00790631">
            <w:pPr>
              <w:rPr>
                <w:rFonts w:ascii="Arial" w:hAnsi="Arial" w:cs="Arial"/>
                <w:b/>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Probable Solution</w:t>
            </w:r>
          </w:p>
        </w:tc>
        <w:tc>
          <w:tcPr>
            <w:tcW w:w="2423" w:type="dxa"/>
          </w:tcPr>
          <w:p w:rsidR="00790631" w:rsidRPr="0007551C" w:rsidRDefault="00790631">
            <w:pPr>
              <w:rPr>
                <w:rFonts w:ascii="Arial" w:hAnsi="Arial" w:cs="Arial"/>
                <w:i/>
              </w:rPr>
            </w:pPr>
            <w:r w:rsidRPr="0007551C">
              <w:rPr>
                <w:rFonts w:ascii="Arial" w:hAnsi="Arial" w:cs="Arial"/>
                <w:i/>
              </w:rPr>
              <w:t>Outcomes that the commissioner wants</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Cost and Pricing Analysis</w:t>
            </w:r>
          </w:p>
        </w:tc>
        <w:tc>
          <w:tcPr>
            <w:tcW w:w="2423" w:type="dxa"/>
          </w:tcPr>
          <w:p w:rsidR="00790631" w:rsidRPr="0007551C" w:rsidRDefault="00790631">
            <w:pPr>
              <w:rPr>
                <w:rFonts w:ascii="Arial" w:hAnsi="Arial" w:cs="Arial"/>
                <w:i/>
              </w:rPr>
            </w:pPr>
            <w:r w:rsidRPr="0007551C">
              <w:rPr>
                <w:rFonts w:ascii="Arial" w:hAnsi="Arial" w:cs="Arial"/>
                <w:i/>
              </w:rPr>
              <w:t xml:space="preserve">For service models; engage Network Accountant to provide costed models of care. </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lastRenderedPageBreak/>
              <w:t>Past Performance</w:t>
            </w:r>
          </w:p>
        </w:tc>
        <w:tc>
          <w:tcPr>
            <w:tcW w:w="2423" w:type="dxa"/>
          </w:tcPr>
          <w:p w:rsidR="00790631" w:rsidRDefault="00790631">
            <w:pPr>
              <w:rPr>
                <w:rFonts w:ascii="Arial" w:hAnsi="Arial" w:cs="Arial"/>
                <w:i/>
              </w:rPr>
            </w:pPr>
            <w:r w:rsidRPr="0007551C">
              <w:rPr>
                <w:rFonts w:ascii="Arial" w:hAnsi="Arial" w:cs="Arial"/>
                <w:i/>
              </w:rPr>
              <w:t>How are we scoring? What is our track record in this area of work?</w:t>
            </w:r>
          </w:p>
          <w:p w:rsidR="00790631" w:rsidRPr="0007551C" w:rsidRDefault="00790631">
            <w:pPr>
              <w:rPr>
                <w:rFonts w:ascii="Arial" w:hAnsi="Arial" w:cs="Arial"/>
                <w:i/>
              </w:rPr>
            </w:pPr>
            <w:r>
              <w:rPr>
                <w:rFonts w:ascii="Arial" w:hAnsi="Arial" w:cs="Arial"/>
                <w:i/>
              </w:rPr>
              <w:t>Where are our evidence and credentials to back up our performance?</w:t>
            </w:r>
          </w:p>
        </w:tc>
        <w:tc>
          <w:tcPr>
            <w:tcW w:w="6123" w:type="dxa"/>
          </w:tcPr>
          <w:p w:rsidR="00790631" w:rsidRPr="0007551C" w:rsidRDefault="00623454">
            <w:pPr>
              <w:rPr>
                <w:rFonts w:ascii="Arial" w:hAnsi="Arial" w:cs="Arial"/>
              </w:rPr>
            </w:pPr>
            <w:r>
              <w:rPr>
                <w:rFonts w:ascii="Arial" w:hAnsi="Arial" w:cs="Arial"/>
              </w:rPr>
              <w:t xml:space="preserve">Our current service not working as effectively as they should, currently deliver in BWD, Chorley S </w:t>
            </w:r>
            <w:proofErr w:type="spellStart"/>
            <w:r>
              <w:rPr>
                <w:rFonts w:ascii="Arial" w:hAnsi="Arial" w:cs="Arial"/>
              </w:rPr>
              <w:t>ribble</w:t>
            </w:r>
            <w:proofErr w:type="spellEnd"/>
            <w:r>
              <w:rPr>
                <w:rFonts w:ascii="Arial" w:hAnsi="Arial" w:cs="Arial"/>
              </w:rPr>
              <w:t xml:space="preserve"> and Greater Preston, if we got to presentation we could use a GP from “perfect locality” (3 demo sites of wider holistic community offer, communities looking after themselves) to present.</w:t>
            </w: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Risk Analysis</w:t>
            </w:r>
          </w:p>
        </w:tc>
        <w:tc>
          <w:tcPr>
            <w:tcW w:w="2423" w:type="dxa"/>
          </w:tcPr>
          <w:p w:rsidR="00790631" w:rsidRDefault="00790631">
            <w:pPr>
              <w:rPr>
                <w:rFonts w:ascii="Arial" w:hAnsi="Arial" w:cs="Arial"/>
                <w:i/>
              </w:rPr>
            </w:pPr>
            <w:r>
              <w:rPr>
                <w:rFonts w:ascii="Arial" w:hAnsi="Arial" w:cs="Arial"/>
                <w:i/>
              </w:rPr>
              <w:t xml:space="preserve">For existing contracts, have we been served notice on the contract? </w:t>
            </w:r>
          </w:p>
          <w:p w:rsidR="00790631" w:rsidRDefault="00790631">
            <w:pPr>
              <w:rPr>
                <w:rFonts w:ascii="Arial" w:hAnsi="Arial" w:cs="Arial"/>
                <w:i/>
              </w:rPr>
            </w:pPr>
          </w:p>
          <w:p w:rsidR="00790631" w:rsidRPr="005F6539" w:rsidRDefault="00790631">
            <w:pPr>
              <w:rPr>
                <w:rFonts w:ascii="Arial" w:hAnsi="Arial" w:cs="Arial"/>
                <w:i/>
              </w:rPr>
            </w:pPr>
            <w:r w:rsidRPr="0007551C">
              <w:rPr>
                <w:rFonts w:ascii="Arial" w:hAnsi="Arial" w:cs="Arial"/>
                <w:i/>
              </w:rPr>
              <w:t xml:space="preserve">Looking at performance issues, how can we mitigate these risks? Highlight through the strategy - </w:t>
            </w:r>
            <w:r w:rsidRPr="005F6539">
              <w:rPr>
                <w:rFonts w:ascii="Arial" w:hAnsi="Arial" w:cs="Arial"/>
                <w:i/>
                <w:highlight w:val="lightGray"/>
              </w:rPr>
              <w:t>RAG ratings for risks</w:t>
            </w:r>
          </w:p>
        </w:tc>
        <w:tc>
          <w:tcPr>
            <w:tcW w:w="6123" w:type="dxa"/>
          </w:tcPr>
          <w:p w:rsidR="00790631" w:rsidRPr="0007551C" w:rsidRDefault="00D108E9">
            <w:pPr>
              <w:rPr>
                <w:rFonts w:ascii="Arial" w:hAnsi="Arial" w:cs="Arial"/>
              </w:rPr>
            </w:pPr>
            <w:r>
              <w:rPr>
                <w:rFonts w:ascii="Arial" w:hAnsi="Arial" w:cs="Arial"/>
              </w:rPr>
              <w:t xml:space="preserve">Mobilisation on a new patch. Lack of knowledge of the patch &amp; population. Look at their JSNA understand number of GP practices, review GP profiles. Match GP profiles to level of service requirement. Need to understand the size of the INTs. What engagement have they done to date? Suggest a conversation with health watch in that area? Investigate carers groups that are around-Could then get access to patient feedback. Review their acute trust </w:t>
            </w:r>
            <w:proofErr w:type="gramStart"/>
            <w:r>
              <w:rPr>
                <w:rFonts w:ascii="Arial" w:hAnsi="Arial" w:cs="Arial"/>
              </w:rPr>
              <w:t>performance ?</w:t>
            </w:r>
            <w:proofErr w:type="gramEnd"/>
            <w:r>
              <w:rPr>
                <w:rFonts w:ascii="Arial" w:hAnsi="Arial" w:cs="Arial"/>
              </w:rPr>
              <w:t xml:space="preserve"> </w:t>
            </w:r>
            <w:proofErr w:type="gramStart"/>
            <w:r>
              <w:rPr>
                <w:rFonts w:ascii="Arial" w:hAnsi="Arial" w:cs="Arial"/>
              </w:rPr>
              <w:t>a</w:t>
            </w:r>
            <w:proofErr w:type="gramEnd"/>
            <w:r>
              <w:rPr>
                <w:rFonts w:ascii="Arial" w:hAnsi="Arial" w:cs="Arial"/>
              </w:rPr>
              <w:t xml:space="preserve"> lot of delayed discharges (From Louise).  Is there a 3</w:t>
            </w:r>
            <w:r w:rsidRPr="00D108E9">
              <w:rPr>
                <w:rFonts w:ascii="Arial" w:hAnsi="Arial" w:cs="Arial"/>
                <w:vertAlign w:val="superscript"/>
              </w:rPr>
              <w:t>rd</w:t>
            </w:r>
            <w:r>
              <w:rPr>
                <w:rFonts w:ascii="Arial" w:hAnsi="Arial" w:cs="Arial"/>
              </w:rPr>
              <w:t xml:space="preserve"> sector group? Risk-No relationships, don’t know the GPs, geographical distance between LCFT and service delivery, what additional support are required for services </w:t>
            </w:r>
            <w:r w:rsidR="00667CC1">
              <w:rPr>
                <w:rFonts w:ascii="Arial" w:hAnsi="Arial" w:cs="Arial"/>
              </w:rPr>
              <w:t>i.e.</w:t>
            </w:r>
            <w:r>
              <w:rPr>
                <w:rFonts w:ascii="Arial" w:hAnsi="Arial" w:cs="Arial"/>
              </w:rPr>
              <w:t xml:space="preserve"> additional safeguarding support for examples. Can we get the support services from LCFT or can we subcontract f</w:t>
            </w:r>
            <w:r w:rsidR="00667CC1">
              <w:rPr>
                <w:rFonts w:ascii="Arial" w:hAnsi="Arial" w:cs="Arial"/>
              </w:rPr>
              <w:t xml:space="preserve">rom services in the local area </w:t>
            </w:r>
            <w:proofErr w:type="spellStart"/>
            <w:r w:rsidR="00667CC1">
              <w:rPr>
                <w:rFonts w:ascii="Arial" w:hAnsi="Arial" w:cs="Arial"/>
              </w:rPr>
              <w:t>i.e</w:t>
            </w:r>
            <w:proofErr w:type="spellEnd"/>
            <w:r w:rsidR="00667CC1">
              <w:rPr>
                <w:rFonts w:ascii="Arial" w:hAnsi="Arial" w:cs="Arial"/>
              </w:rPr>
              <w:t xml:space="preserve"> local acute trust. Workforce recruitment and retention-National issue around recruiting staff, do we know the staff shortages </w:t>
            </w:r>
            <w:proofErr w:type="spellStart"/>
            <w:r w:rsidR="00667CC1">
              <w:rPr>
                <w:rFonts w:ascii="Arial" w:hAnsi="Arial" w:cs="Arial"/>
              </w:rPr>
              <w:t>etc</w:t>
            </w:r>
            <w:proofErr w:type="spellEnd"/>
            <w:r w:rsidR="00667CC1">
              <w:rPr>
                <w:rFonts w:ascii="Arial" w:hAnsi="Arial" w:cs="Arial"/>
              </w:rPr>
              <w:t xml:space="preserve"> in the area. VANGUARDS around the country being set up with new innovative staffing models, to be truly innovative could we look at a different model with different staff mix. Risk stratification to be understood. </w:t>
            </w: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5F6539">
        <w:tc>
          <w:tcPr>
            <w:tcW w:w="10291" w:type="dxa"/>
            <w:gridSpan w:val="3"/>
            <w:shd w:val="clear" w:color="auto" w:fill="0070C0"/>
          </w:tcPr>
          <w:p w:rsidR="00790631" w:rsidRPr="005F6539" w:rsidRDefault="00790631">
            <w:pPr>
              <w:rPr>
                <w:rFonts w:ascii="Arial" w:hAnsi="Arial" w:cs="Arial"/>
                <w:b/>
                <w:color w:val="FFFFFF" w:themeColor="background1"/>
              </w:rPr>
            </w:pPr>
            <w:r w:rsidRPr="005F6539">
              <w:rPr>
                <w:rFonts w:ascii="Arial" w:hAnsi="Arial" w:cs="Arial"/>
                <w:b/>
                <w:color w:val="FFFFFF" w:themeColor="background1"/>
              </w:rPr>
              <w:t>Strategy Development Plan</w:t>
            </w:r>
          </w:p>
        </w:tc>
        <w:tc>
          <w:tcPr>
            <w:tcW w:w="1583" w:type="dxa"/>
          </w:tcPr>
          <w:p w:rsidR="00790631" w:rsidRPr="0007551C" w:rsidRDefault="00790631">
            <w:pPr>
              <w:rPr>
                <w:rFonts w:ascii="Arial" w:hAnsi="Arial" w:cs="Arial"/>
                <w:b/>
              </w:rPr>
            </w:pPr>
          </w:p>
        </w:tc>
        <w:tc>
          <w:tcPr>
            <w:tcW w:w="2693" w:type="dxa"/>
          </w:tcPr>
          <w:p w:rsidR="00790631" w:rsidRPr="0007551C" w:rsidRDefault="00790631">
            <w:pPr>
              <w:rPr>
                <w:rFonts w:ascii="Arial" w:hAnsi="Arial" w:cs="Arial"/>
                <w:b/>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Win Strategy White Paper</w:t>
            </w:r>
          </w:p>
        </w:tc>
        <w:tc>
          <w:tcPr>
            <w:tcW w:w="2423" w:type="dxa"/>
          </w:tcPr>
          <w:p w:rsidR="00790631" w:rsidRPr="0007551C" w:rsidRDefault="00790631">
            <w:pPr>
              <w:rPr>
                <w:rFonts w:ascii="Arial" w:hAnsi="Arial" w:cs="Arial"/>
                <w:i/>
              </w:rPr>
            </w:pPr>
            <w:r w:rsidRPr="0007551C">
              <w:rPr>
                <w:rFonts w:ascii="Arial" w:hAnsi="Arial" w:cs="Arial"/>
                <w:i/>
              </w:rPr>
              <w:t xml:space="preserve">For the bid, what are the differentiators from the competitors? Highlight how we </w:t>
            </w:r>
            <w:r w:rsidRPr="0007551C">
              <w:rPr>
                <w:rFonts w:ascii="Arial" w:hAnsi="Arial" w:cs="Arial"/>
                <w:i/>
              </w:rPr>
              <w:lastRenderedPageBreak/>
              <w:t>meet the commissioners requirements and how we are better than competitors (through evidence)</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lastRenderedPageBreak/>
              <w:t>Contact/call plan</w:t>
            </w:r>
          </w:p>
        </w:tc>
        <w:tc>
          <w:tcPr>
            <w:tcW w:w="2423" w:type="dxa"/>
          </w:tcPr>
          <w:p w:rsidR="00790631" w:rsidRPr="0007551C" w:rsidRDefault="00790631">
            <w:pPr>
              <w:rPr>
                <w:rFonts w:ascii="Arial" w:hAnsi="Arial" w:cs="Arial"/>
                <w:i/>
              </w:rPr>
            </w:pPr>
            <w:r w:rsidRPr="0007551C">
              <w:rPr>
                <w:rFonts w:ascii="Arial" w:hAnsi="Arial" w:cs="Arial"/>
                <w:i/>
              </w:rPr>
              <w:t xml:space="preserve">To be worked up with the Marketing Manager; </w:t>
            </w:r>
            <w:proofErr w:type="spellStart"/>
            <w:r w:rsidRPr="005F6539">
              <w:rPr>
                <w:rFonts w:ascii="Arial" w:hAnsi="Arial" w:cs="Arial"/>
                <w:i/>
                <w:highlight w:val="lightGray"/>
              </w:rPr>
              <w:t>comms</w:t>
            </w:r>
            <w:proofErr w:type="spellEnd"/>
            <w:r w:rsidRPr="005F6539">
              <w:rPr>
                <w:rFonts w:ascii="Arial" w:hAnsi="Arial" w:cs="Arial"/>
                <w:i/>
                <w:highlight w:val="lightGray"/>
              </w:rPr>
              <w:t xml:space="preserve"> strategy</w:t>
            </w:r>
            <w:r w:rsidRPr="005F6539">
              <w:rPr>
                <w:rFonts w:ascii="Arial" w:hAnsi="Arial" w:cs="Arial"/>
                <w:i/>
              </w:rPr>
              <w:t xml:space="preserve"> </w:t>
            </w:r>
            <w:r w:rsidRPr="0007551C">
              <w:rPr>
                <w:rFonts w:ascii="Arial" w:hAnsi="Arial" w:cs="Arial"/>
                <w:i/>
              </w:rPr>
              <w:t>with ND/ CD and exec team. Influencing and providing messages to commissioners</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Intelligence Collection</w:t>
            </w:r>
          </w:p>
        </w:tc>
        <w:tc>
          <w:tcPr>
            <w:tcW w:w="2423" w:type="dxa"/>
          </w:tcPr>
          <w:p w:rsidR="00790631" w:rsidRPr="0007551C" w:rsidRDefault="00790631">
            <w:pPr>
              <w:rPr>
                <w:rFonts w:ascii="Arial" w:hAnsi="Arial" w:cs="Arial"/>
                <w:i/>
              </w:rPr>
            </w:pPr>
            <w:r w:rsidRPr="0007551C">
              <w:rPr>
                <w:rFonts w:ascii="Arial" w:hAnsi="Arial" w:cs="Arial"/>
                <w:i/>
              </w:rPr>
              <w:t xml:space="preserve">Information gained from news, reports etc. to be gained by the Knowledge Manager and Engagement Team. Internal information for promotion of current services. </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 xml:space="preserve">Communication and Public Relations </w:t>
            </w:r>
          </w:p>
        </w:tc>
        <w:tc>
          <w:tcPr>
            <w:tcW w:w="2423" w:type="dxa"/>
          </w:tcPr>
          <w:p w:rsidR="00790631" w:rsidRPr="0007551C" w:rsidRDefault="00790631">
            <w:pPr>
              <w:rPr>
                <w:rFonts w:ascii="Arial" w:hAnsi="Arial" w:cs="Arial"/>
                <w:i/>
              </w:rPr>
            </w:pPr>
            <w:r w:rsidRPr="0007551C">
              <w:rPr>
                <w:rFonts w:ascii="Arial" w:hAnsi="Arial" w:cs="Arial"/>
                <w:i/>
              </w:rPr>
              <w:t xml:space="preserve">Any events/ PR/ talks </w:t>
            </w:r>
            <w:proofErr w:type="spellStart"/>
            <w:r w:rsidRPr="0007551C">
              <w:rPr>
                <w:rFonts w:ascii="Arial" w:hAnsi="Arial" w:cs="Arial"/>
                <w:i/>
              </w:rPr>
              <w:t>etc</w:t>
            </w:r>
            <w:proofErr w:type="spellEnd"/>
            <w:r w:rsidRPr="0007551C">
              <w:rPr>
                <w:rFonts w:ascii="Arial" w:hAnsi="Arial" w:cs="Arial"/>
                <w:i/>
              </w:rPr>
              <w:t xml:space="preserve"> to raise the profile of the organisation and service. </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Technology Review</w:t>
            </w:r>
          </w:p>
        </w:tc>
        <w:tc>
          <w:tcPr>
            <w:tcW w:w="2423" w:type="dxa"/>
          </w:tcPr>
          <w:p w:rsidR="00790631" w:rsidRPr="0007551C" w:rsidRDefault="00790631">
            <w:pPr>
              <w:rPr>
                <w:rFonts w:ascii="Arial" w:hAnsi="Arial" w:cs="Arial"/>
                <w:i/>
              </w:rPr>
            </w:pPr>
            <w:r w:rsidRPr="0007551C">
              <w:rPr>
                <w:rFonts w:ascii="Arial" w:hAnsi="Arial" w:cs="Arial"/>
                <w:i/>
              </w:rPr>
              <w:t>Partnerships, innovation and risk management</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rsidP="00C1522B">
            <w:pPr>
              <w:jc w:val="both"/>
              <w:rPr>
                <w:rFonts w:ascii="Arial" w:hAnsi="Arial" w:cs="Arial"/>
              </w:rPr>
            </w:pPr>
            <w:r w:rsidRPr="0007551C">
              <w:rPr>
                <w:rFonts w:ascii="Arial" w:hAnsi="Arial" w:cs="Arial"/>
              </w:rPr>
              <w:t>Review and Milestones</w:t>
            </w:r>
          </w:p>
        </w:tc>
        <w:tc>
          <w:tcPr>
            <w:tcW w:w="2423" w:type="dxa"/>
          </w:tcPr>
          <w:p w:rsidR="00790631" w:rsidRPr="0007551C" w:rsidRDefault="00790631">
            <w:pPr>
              <w:rPr>
                <w:rFonts w:ascii="Arial" w:hAnsi="Arial" w:cs="Arial"/>
                <w:i/>
              </w:rPr>
            </w:pPr>
            <w:r w:rsidRPr="0007551C">
              <w:rPr>
                <w:rFonts w:ascii="Arial" w:hAnsi="Arial" w:cs="Arial"/>
                <w:i/>
              </w:rPr>
              <w:t>Dates for review, ITT  submission dates and release</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5F6539">
        <w:tc>
          <w:tcPr>
            <w:tcW w:w="10291" w:type="dxa"/>
            <w:gridSpan w:val="3"/>
            <w:shd w:val="clear" w:color="auto" w:fill="0070C0"/>
          </w:tcPr>
          <w:p w:rsidR="00790631" w:rsidRPr="0007551C" w:rsidRDefault="00790631">
            <w:pPr>
              <w:rPr>
                <w:rFonts w:ascii="Arial" w:hAnsi="Arial" w:cs="Arial"/>
                <w:b/>
              </w:rPr>
            </w:pPr>
            <w:r w:rsidRPr="005F6539">
              <w:rPr>
                <w:rFonts w:ascii="Arial" w:hAnsi="Arial" w:cs="Arial"/>
                <w:b/>
                <w:color w:val="FFFFFF" w:themeColor="background1"/>
              </w:rPr>
              <w:t>Execution and Monitoring</w:t>
            </w:r>
          </w:p>
        </w:tc>
        <w:tc>
          <w:tcPr>
            <w:tcW w:w="1583" w:type="dxa"/>
          </w:tcPr>
          <w:p w:rsidR="00790631" w:rsidRPr="0007551C" w:rsidRDefault="00790631">
            <w:pPr>
              <w:rPr>
                <w:rFonts w:ascii="Arial" w:hAnsi="Arial" w:cs="Arial"/>
                <w:b/>
              </w:rPr>
            </w:pPr>
          </w:p>
        </w:tc>
        <w:tc>
          <w:tcPr>
            <w:tcW w:w="2693" w:type="dxa"/>
          </w:tcPr>
          <w:p w:rsidR="00790631" w:rsidRPr="0007551C" w:rsidRDefault="00790631">
            <w:pPr>
              <w:rPr>
                <w:rFonts w:ascii="Arial" w:hAnsi="Arial" w:cs="Arial"/>
                <w:b/>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lastRenderedPageBreak/>
              <w:t xml:space="preserve">Reviews </w:t>
            </w:r>
          </w:p>
        </w:tc>
        <w:tc>
          <w:tcPr>
            <w:tcW w:w="2423" w:type="dxa"/>
          </w:tcPr>
          <w:p w:rsidR="00790631" w:rsidRPr="0007551C" w:rsidRDefault="00790631">
            <w:pPr>
              <w:rPr>
                <w:rFonts w:ascii="Arial" w:hAnsi="Arial" w:cs="Arial"/>
                <w:i/>
              </w:rPr>
            </w:pPr>
            <w:r w:rsidRPr="0007551C">
              <w:rPr>
                <w:rFonts w:ascii="Arial" w:hAnsi="Arial" w:cs="Arial"/>
                <w:i/>
              </w:rPr>
              <w:t>Reviews (Pink/Red/ Gold) for the bid process- dates and people involved</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r w:rsidR="00790631" w:rsidRPr="0007551C" w:rsidTr="00790631">
        <w:tc>
          <w:tcPr>
            <w:tcW w:w="1745" w:type="dxa"/>
          </w:tcPr>
          <w:p w:rsidR="00790631" w:rsidRPr="0007551C" w:rsidRDefault="00790631">
            <w:pPr>
              <w:rPr>
                <w:rFonts w:ascii="Arial" w:hAnsi="Arial" w:cs="Arial"/>
              </w:rPr>
            </w:pPr>
            <w:r w:rsidRPr="0007551C">
              <w:rPr>
                <w:rFonts w:ascii="Arial" w:hAnsi="Arial" w:cs="Arial"/>
              </w:rPr>
              <w:t>Kick off Meeting</w:t>
            </w:r>
          </w:p>
        </w:tc>
        <w:tc>
          <w:tcPr>
            <w:tcW w:w="2423" w:type="dxa"/>
          </w:tcPr>
          <w:p w:rsidR="00790631" w:rsidRPr="0007551C" w:rsidRDefault="00790631">
            <w:pPr>
              <w:rPr>
                <w:rFonts w:ascii="Arial" w:hAnsi="Arial" w:cs="Arial"/>
                <w:i/>
              </w:rPr>
            </w:pPr>
            <w:r w:rsidRPr="0007551C">
              <w:rPr>
                <w:rFonts w:ascii="Arial" w:hAnsi="Arial" w:cs="Arial"/>
                <w:i/>
              </w:rPr>
              <w:t>Part of the proposal development plan – information/ people who would need to be involved. Information to be provided to people at the kick off meeting.</w:t>
            </w:r>
          </w:p>
        </w:tc>
        <w:tc>
          <w:tcPr>
            <w:tcW w:w="6123" w:type="dxa"/>
          </w:tcPr>
          <w:p w:rsidR="00790631" w:rsidRPr="0007551C" w:rsidRDefault="00790631">
            <w:pPr>
              <w:rPr>
                <w:rFonts w:ascii="Arial" w:hAnsi="Arial" w:cs="Arial"/>
              </w:rPr>
            </w:pPr>
          </w:p>
        </w:tc>
        <w:tc>
          <w:tcPr>
            <w:tcW w:w="1583" w:type="dxa"/>
          </w:tcPr>
          <w:p w:rsidR="00790631" w:rsidRPr="0007551C" w:rsidRDefault="00790631">
            <w:pPr>
              <w:rPr>
                <w:rFonts w:ascii="Arial" w:hAnsi="Arial" w:cs="Arial"/>
              </w:rPr>
            </w:pPr>
          </w:p>
        </w:tc>
        <w:tc>
          <w:tcPr>
            <w:tcW w:w="2693" w:type="dxa"/>
          </w:tcPr>
          <w:p w:rsidR="00790631" w:rsidRPr="0007551C" w:rsidRDefault="00790631">
            <w:pPr>
              <w:rPr>
                <w:rFonts w:ascii="Arial" w:hAnsi="Arial" w:cs="Arial"/>
              </w:rPr>
            </w:pPr>
          </w:p>
        </w:tc>
      </w:tr>
    </w:tbl>
    <w:p w:rsidR="000E6A8F" w:rsidRDefault="000E6A8F"/>
    <w:sectPr w:rsidR="000E6A8F" w:rsidSect="00C1522B">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B39" w:rsidRDefault="00513B39" w:rsidP="00513B39">
      <w:pPr>
        <w:spacing w:after="0" w:line="240" w:lineRule="auto"/>
      </w:pPr>
      <w:r>
        <w:separator/>
      </w:r>
    </w:p>
  </w:endnote>
  <w:endnote w:type="continuationSeparator" w:id="0">
    <w:p w:rsidR="00513B39" w:rsidRDefault="00513B39" w:rsidP="00513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550087"/>
      <w:docPartObj>
        <w:docPartGallery w:val="Page Numbers (Bottom of Page)"/>
        <w:docPartUnique/>
      </w:docPartObj>
    </w:sdtPr>
    <w:sdtEndPr>
      <w:rPr>
        <w:noProof/>
      </w:rPr>
    </w:sdtEndPr>
    <w:sdtContent>
      <w:p w:rsidR="00513B39" w:rsidRDefault="00513B39">
        <w:pPr>
          <w:pStyle w:val="Footer"/>
          <w:jc w:val="center"/>
        </w:pPr>
        <w:r>
          <w:fldChar w:fldCharType="begin"/>
        </w:r>
        <w:r>
          <w:instrText xml:space="preserve"> PAGE   \* MERGEFORMAT </w:instrText>
        </w:r>
        <w:r>
          <w:fldChar w:fldCharType="separate"/>
        </w:r>
        <w:r w:rsidR="00AA3343">
          <w:rPr>
            <w:noProof/>
          </w:rPr>
          <w:t>2</w:t>
        </w:r>
        <w:r>
          <w:rPr>
            <w:noProof/>
          </w:rPr>
          <w:fldChar w:fldCharType="end"/>
        </w:r>
      </w:p>
    </w:sdtContent>
  </w:sdt>
  <w:p w:rsidR="00513B39" w:rsidRDefault="00513B39">
    <w:pPr>
      <w:pStyle w:val="Footer"/>
    </w:pPr>
    <w:r>
      <w:rPr>
        <w:noProof/>
        <w:lang w:eastAsia="en-GB"/>
      </w:rPr>
      <w:drawing>
        <wp:inline distT="0" distB="0" distL="0" distR="0" wp14:anchorId="74278DFB">
          <wp:extent cx="3505200" cy="494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05200" cy="49403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B39" w:rsidRDefault="00513B39" w:rsidP="00513B39">
      <w:pPr>
        <w:spacing w:after="0" w:line="240" w:lineRule="auto"/>
      </w:pPr>
      <w:r>
        <w:separator/>
      </w:r>
    </w:p>
  </w:footnote>
  <w:footnote w:type="continuationSeparator" w:id="0">
    <w:p w:rsidR="00513B39" w:rsidRDefault="00513B39" w:rsidP="00513B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B39" w:rsidRDefault="00513B39">
    <w:pPr>
      <w:pStyle w:val="Header"/>
    </w:pPr>
    <w:r>
      <w:rPr>
        <w:noProof/>
        <w:lang w:eastAsia="en-GB"/>
      </w:rPr>
      <w:drawing>
        <wp:anchor distT="0" distB="0" distL="114300" distR="114300" simplePos="0" relativeHeight="251659264" behindDoc="1" locked="0" layoutInCell="1" allowOverlap="1" wp14:anchorId="4A7BAFC2" wp14:editId="06127128">
          <wp:simplePos x="0" y="0"/>
          <wp:positionH relativeFrom="column">
            <wp:posOffset>6850276</wp:posOffset>
          </wp:positionH>
          <wp:positionV relativeFrom="paragraph">
            <wp:posOffset>-202994</wp:posOffset>
          </wp:positionV>
          <wp:extent cx="2705100" cy="514350"/>
          <wp:effectExtent l="0" t="0" r="0" b="0"/>
          <wp:wrapNone/>
          <wp:docPr id="3" name="Picture 10" descr="Description: X:\communications team\Templates and logos\Lancs Care Logo\Lancs Care B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X:\communications team\Templates and logos\Lancs Care Logo\Lancs Care Bl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34746"/>
    <w:multiLevelType w:val="hybridMultilevel"/>
    <w:tmpl w:val="F1C4A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8F"/>
    <w:rsid w:val="0007551C"/>
    <w:rsid w:val="000C6423"/>
    <w:rsid w:val="000E6A8F"/>
    <w:rsid w:val="001D7722"/>
    <w:rsid w:val="00513B39"/>
    <w:rsid w:val="005F4D2D"/>
    <w:rsid w:val="005F6539"/>
    <w:rsid w:val="00623454"/>
    <w:rsid w:val="00666897"/>
    <w:rsid w:val="00667CC1"/>
    <w:rsid w:val="00682D18"/>
    <w:rsid w:val="00790631"/>
    <w:rsid w:val="009F7484"/>
    <w:rsid w:val="00AA3343"/>
    <w:rsid w:val="00C1522B"/>
    <w:rsid w:val="00CF6873"/>
    <w:rsid w:val="00D108E9"/>
    <w:rsid w:val="00EC584E"/>
    <w:rsid w:val="00FD7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873"/>
    <w:rPr>
      <w:rFonts w:ascii="Tahoma" w:hAnsi="Tahoma" w:cs="Tahoma"/>
      <w:sz w:val="16"/>
      <w:szCs w:val="16"/>
    </w:rPr>
  </w:style>
  <w:style w:type="paragraph" w:styleId="Header">
    <w:name w:val="header"/>
    <w:basedOn w:val="Normal"/>
    <w:link w:val="HeaderChar"/>
    <w:uiPriority w:val="99"/>
    <w:unhideWhenUsed/>
    <w:rsid w:val="00513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B39"/>
  </w:style>
  <w:style w:type="paragraph" w:styleId="Footer">
    <w:name w:val="footer"/>
    <w:basedOn w:val="Normal"/>
    <w:link w:val="FooterChar"/>
    <w:uiPriority w:val="99"/>
    <w:unhideWhenUsed/>
    <w:rsid w:val="00513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B39"/>
  </w:style>
  <w:style w:type="paragraph" w:styleId="NoSpacing">
    <w:name w:val="No Spacing"/>
    <w:uiPriority w:val="1"/>
    <w:qFormat/>
    <w:rsid w:val="005F65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873"/>
    <w:rPr>
      <w:rFonts w:ascii="Tahoma" w:hAnsi="Tahoma" w:cs="Tahoma"/>
      <w:sz w:val="16"/>
      <w:szCs w:val="16"/>
    </w:rPr>
  </w:style>
  <w:style w:type="paragraph" w:styleId="Header">
    <w:name w:val="header"/>
    <w:basedOn w:val="Normal"/>
    <w:link w:val="HeaderChar"/>
    <w:uiPriority w:val="99"/>
    <w:unhideWhenUsed/>
    <w:rsid w:val="00513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B39"/>
  </w:style>
  <w:style w:type="paragraph" w:styleId="Footer">
    <w:name w:val="footer"/>
    <w:basedOn w:val="Normal"/>
    <w:link w:val="FooterChar"/>
    <w:uiPriority w:val="99"/>
    <w:unhideWhenUsed/>
    <w:rsid w:val="00513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B39"/>
  </w:style>
  <w:style w:type="paragraph" w:styleId="NoSpacing">
    <w:name w:val="No Spacing"/>
    <w:uiPriority w:val="1"/>
    <w:qFormat/>
    <w:rsid w:val="005F6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Lancashire Care NHS Foundation Trust</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Tomlinson Victoria (LCFT)</dc:creator>
  <cp:lastModifiedBy>James Mark (LCFT)</cp:lastModifiedBy>
  <cp:revision>9</cp:revision>
  <dcterms:created xsi:type="dcterms:W3CDTF">2014-08-14T11:12:00Z</dcterms:created>
  <dcterms:modified xsi:type="dcterms:W3CDTF">2015-09-03T14:07:00Z</dcterms:modified>
</cp:coreProperties>
</file>