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מי אלה כעב תעופנה וכיונים אל ארובותיהם</w:t>
      </w:r>
    </w:p>
    <w:p>
      <w:pPr>
        <w:pStyle w:val="Normal"/>
        <w:jc w:val="both"/>
        <w:rPr/>
      </w:pPr>
      <w:r>
        <w:rPr>
          <w:rtl w:val="true"/>
        </w:rPr>
        <w:t>הפסוק מתאר את עם ישראל חוזר ארצה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ניתן לומר שיש שתי קבוצות של יהודים שחוזרים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 קבוצה נוספת שחוזרת לארץ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>הסיבה שיהודים אלה חוזרים ארצה היא בגלל שלשם נושבת הרוח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בגלל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בכיוון הנכון</w:t>
      </w:r>
      <w:r>
        <w:rPr>
          <w:rtl w:val="true"/>
        </w:rPr>
        <w:t xml:space="preserve">, </w:t>
      </w:r>
      <w:r>
        <w:rPr>
          <w:rtl w:val="true"/>
        </w:rPr>
        <w:t>כך שימצאו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rFonts w:cs="Arial"/>
        </w:rPr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שאותם הוא מצווה במעמד הברית בהר סיני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>
          <w:rFonts w:cs="Arial"/>
        </w:rPr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: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במגיע כתגובה על העבירה שעבר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לקפוץ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 או על תוצאה של מעשיו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שהם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הם לא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ממש תוצאת המעשים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אוטומטית הוא נפגע מכך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השפעת פנים והשפעת עורף</w:t>
      </w:r>
    </w:p>
    <w:p>
      <w:pPr>
        <w:pStyle w:val="Normal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ותאמר שלום</w:t>
      </w:r>
    </w:p>
    <w:p>
      <w:pPr>
        <w:pStyle w:val="Normal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קהלת –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קולות במגילה</w:t>
      </w:r>
    </w:p>
    <w:p>
      <w:pPr>
        <w:pStyle w:val="Normal"/>
        <w:rPr/>
      </w:pPr>
      <w:r>
        <w:rPr>
          <w:rtl w:val="true"/>
        </w:rPr>
        <w:t>והעיר שושן נבוכה – כמו המערב מול אנטישמיות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 xml:space="preserve">כי גרים הייתם בארץ מצרים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נחמה ליבוביץ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LibreOffice/7.4.6.2$Linux_X86_64 LibreOffice_project/40$Build-2</Application>
  <AppVersion>15.0000</AppVersion>
  <Pages>2</Pages>
  <Words>670</Words>
  <Characters>2932</Characters>
  <CharactersWithSpaces>3588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2023-04-11T13:22:49Z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