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פרשת שבוע</w:t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שאותם הוא מצווה במעמד הברית בהר סיני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במגיע כתגובה על העבירה שעבר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לקפוץ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 או על תוצאה של מעשיו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דרך הטבע הוא כזה שכאשר נופלים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שהם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הם לא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ממש תוצאת המעשים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אוטומטית הוא נפגע מכך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כלומר 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שראוי שאדם שעבר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זה</w:t>
      </w:r>
      <w:r>
        <w:rPr>
          <w:rtl w:val="true"/>
        </w:rPr>
        <w:t xml:space="preserve">, </w:t>
      </w:r>
      <w:r>
        <w:rPr>
          <w:rtl w:val="true"/>
        </w:rPr>
        <w:t>שילמד איך להתנהג בצורה מאירת פנים ומקבלת אל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רואי שנתנהג אל 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וכמה שהקליטה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העזרה שיש להם</w:t>
      </w:r>
      <w:r>
        <w:rPr>
          <w:rtl w:val="true"/>
        </w:rPr>
        <w:t xml:space="preserve">, </w:t>
      </w:r>
      <w:r>
        <w:rPr>
          <w:rtl w:val="true"/>
        </w:rPr>
        <w:t>כיוון שכמו שהוא הסתדר עם הקשיים של מה שהיה</w:t>
      </w:r>
      <w:r>
        <w:rPr>
          <w:rtl w:val="true"/>
        </w:rPr>
        <w:t xml:space="preserve">, </w:t>
      </w:r>
      <w:r>
        <w:rPr>
          <w:rtl w:val="true"/>
        </w:rPr>
        <w:t>אז שגם הם יסתדרו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כך 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לך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>תורת ישראל היא מבוססת על שמיעה</w:t>
      </w:r>
      <w:r>
        <w:rPr>
          <w:rtl w:val="true"/>
        </w:rPr>
        <w:t>, “</w:t>
      </w:r>
      <w:r>
        <w:rPr>
          <w:rtl w:val="true"/>
        </w:rPr>
        <w:t>שמע ישראל</w:t>
      </w:r>
      <w:r>
        <w:rPr>
          <w:rtl w:val="true"/>
        </w:rPr>
        <w:t>", “</w:t>
      </w:r>
      <w:r>
        <w:rPr>
          <w:rtl w:val="true"/>
        </w:rPr>
        <w:t>שמע אל החוקים ואל המשפטים</w:t>
      </w:r>
      <w:r>
        <w:rPr>
          <w:rtl w:val="true"/>
        </w:rPr>
        <w:t xml:space="preserve">".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יון הקדומה הייתה מבוססת על ראייה</w:t>
      </w:r>
      <w:r>
        <w:rPr>
          <w:rtl w:val="true"/>
        </w:rPr>
        <w:t xml:space="preserve">. </w:t>
      </w:r>
      <w:r>
        <w:rPr>
          <w:rtl w:val="true"/>
        </w:rPr>
        <w:t>המקדשים היו מלאים בפסלים</w:t>
      </w:r>
      <w:r>
        <w:rPr>
          <w:rtl w:val="true"/>
        </w:rPr>
        <w:t xml:space="preserve">, </w:t>
      </w:r>
      <w:r>
        <w:rPr>
          <w:rtl w:val="true"/>
        </w:rPr>
        <w:t>והיה דגש על אסטטיקה</w:t>
      </w:r>
      <w:r>
        <w:rPr>
          <w:rtl w:val="true"/>
        </w:rPr>
        <w:t xml:space="preserve">, </w:t>
      </w:r>
      <w:r>
        <w:rPr>
          <w:rtl w:val="true"/>
        </w:rPr>
        <w:t>בגוף האדם</w:t>
      </w:r>
      <w:r>
        <w:rPr>
          <w:rtl w:val="true"/>
        </w:rPr>
        <w:t xml:space="preserve">, </w:t>
      </w:r>
      <w:r>
        <w:rPr>
          <w:rtl w:val="true"/>
        </w:rPr>
        <w:t>בפיסול ובציור</w:t>
      </w:r>
      <w:r>
        <w:rPr>
          <w:rtl w:val="true"/>
        </w:rPr>
        <w:t xml:space="preserve">. </w:t>
      </w:r>
      <w:r>
        <w:rPr>
          <w:rtl w:val="true"/>
        </w:rPr>
        <w:t>עם ישראל מאמין בא</w:t>
      </w:r>
      <w:r>
        <w:rPr>
          <w:rtl w:val="true"/>
        </w:rPr>
        <w:t>-</w:t>
      </w:r>
      <w:r>
        <w:rPr>
          <w:rtl w:val="true"/>
        </w:rPr>
        <w:t>ל שאין לו גוף</w:t>
      </w:r>
      <w:r>
        <w:rPr>
          <w:rtl w:val="true"/>
        </w:rPr>
        <w:t xml:space="preserve">, </w:t>
      </w:r>
      <w:r>
        <w:rPr>
          <w:rtl w:val="true"/>
        </w:rPr>
        <w:t>ואי אפשר לראות אותו</w:t>
      </w:r>
      <w:r>
        <w:rPr>
          <w:rtl w:val="true"/>
        </w:rPr>
        <w:t xml:space="preserve">, </w:t>
      </w:r>
      <w:r>
        <w:rPr>
          <w:rtl w:val="true"/>
        </w:rPr>
        <w:t>ולכן אנו עוצרים את העיניים ושומעים את קול הדממה הדקה</w:t>
      </w:r>
      <w:r>
        <w:rPr>
          <w:rtl w:val="true"/>
        </w:rPr>
        <w:t xml:space="preserve">, </w:t>
      </w:r>
      <w:r>
        <w:rPr>
          <w:rtl w:val="true"/>
        </w:rPr>
        <w:t>של המוסר</w:t>
      </w:r>
      <w:r>
        <w:rPr>
          <w:rtl w:val="true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יוֹם אֲשֶׁר עָמַדְתָּ לִפְנֵי יְהוָה אֱלֹהֶיךָ בְּחֹרֵב בֶּאֱמֹר יְהוָה אֵלַי הַקְהֶל לִי אֶת הָעָם </w:t>
      </w:r>
      <w:r>
        <w:rPr>
          <w:rFonts w:ascii="Calibri" w:hAnsi="Calibri" w:eastAsia="Calibri" w:asciiTheme="minorHAnsi" w:eastAsiaTheme="minorHAnsi" w:hAnsiTheme="minorHAnsi"/>
          <w:b/>
          <w:b/>
          <w:bCs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וְאַשְׁמִעֵם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אֶת דְּבָרָי אֲשֶׁר יִלְמְדוּן לְיִרְאָה אֹתִי כָּל הַיָּמִים אֲשֶׁר הֵם חַיִּים עַל הָאֲדָמָה וְאֶת בְּנֵיהֶם יְלַמֵּדוּן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…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וְנִשְׁמַרְתֶּם מְאֹד לְנַפְשֹׁתֵיכֶם כִּי לֹא </w:t>
      </w:r>
      <w:r>
        <w:rPr>
          <w:rFonts w:ascii="Calibri" w:hAnsi="Calibri" w:eastAsia="Calibri" w:asciiTheme="minorHAnsi" w:eastAsiaTheme="minorHAnsi" w:hAnsiTheme="minorHAnsi"/>
          <w:b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רְאִיתֶם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כָּל תְּמוּנָה בְּיוֹם דִּבֶּר יְהוָה אֲלֵיכֶם בְּחֹרֵב מִתּוֹךְ הָאֵשׁ”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לפי הרב זקס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מצווים לשמוע אל דבר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שעובר בעולם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צריכים להאזין לקול הדק ולהשתדל להבין מה הוא אומר לנו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לפעמים אנחנו מסתכלים על מה שגלוי לעין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באמצעות השמיעה אפשר לחדור את הרובד החיצוני ולהגיע פנימה אל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לכן מוזיקה מורממת את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כי אנו פותחים את האוזניים לשמוע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 “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והיה כנגן המנגן ותהי עליו יד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הפטרות</w:t>
      </w:r>
    </w:p>
    <w:p>
      <w:pPr>
        <w:pStyle w:val="Normal"/>
        <w:jc w:val="both"/>
        <w:rPr/>
      </w:pPr>
      <w:r>
        <w:rPr>
          <w:rtl w:val="true"/>
        </w:rPr>
        <w:t>מי אלה כעב תעופנה וכיונים אל ארובותיהם</w:t>
      </w:r>
    </w:p>
    <w:p>
      <w:pPr>
        <w:pStyle w:val="Normal"/>
        <w:jc w:val="both"/>
        <w:rPr/>
      </w:pPr>
      <w:r>
        <w:rPr>
          <w:rtl w:val="true"/>
        </w:rPr>
        <w:t xml:space="preserve">הפסוק </w:t>
      </w:r>
      <w:r>
        <w:rPr>
          <w:rtl w:val="true"/>
        </w:rPr>
        <w:t>בהפטרה</w:t>
      </w:r>
      <w:r>
        <w:rPr>
          <w:rtl w:val="true"/>
        </w:rPr>
        <w:t xml:space="preserve"> מתאר את עם ישראל חוזר ארצה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ניתן לומר שיש שתי קבוצות של יהודים שחוזרים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 קבוצה נוספת שחוזרת לארץ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>הסיבה שיהודים אלה חוזרים ארצה היא בגלל שלשם נושבת הרוח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בגלל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בכיוון הנכון</w:t>
      </w:r>
      <w:r>
        <w:rPr>
          <w:rtl w:val="true"/>
        </w:rPr>
        <w:t xml:space="preserve">, </w:t>
      </w:r>
      <w:r>
        <w:rPr>
          <w:rtl w:val="true"/>
        </w:rPr>
        <w:t>כך שימצאו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ותאמר שלום</w:t>
      </w:r>
    </w:p>
    <w:p>
      <w:pPr>
        <w:pStyle w:val="Normal"/>
        <w:jc w:val="both"/>
        <w:rPr/>
      </w:pPr>
      <w:r>
        <w:rPr>
          <w:rtl w:val="true"/>
        </w:rPr>
        <w:t>הפטרת פרשת וירא מספרת את הסיפור של האישה השונמית</w:t>
      </w:r>
      <w:r>
        <w:rPr>
          <w:rtl w:val="true"/>
        </w:rPr>
        <w:t xml:space="preserve">, </w:t>
      </w:r>
      <w:r>
        <w:rPr>
          <w:rtl w:val="true"/>
        </w:rPr>
        <w:t>שאלישע הנביא ברך אותה בילד</w:t>
      </w:r>
      <w:r>
        <w:rPr>
          <w:rtl w:val="true"/>
        </w:rPr>
        <w:t xml:space="preserve">, </w:t>
      </w:r>
      <w:r>
        <w:rPr>
          <w:rtl w:val="true"/>
        </w:rPr>
        <w:t>ואכן האישה ילדה בן</w:t>
      </w:r>
      <w:r>
        <w:rPr>
          <w:rtl w:val="true"/>
        </w:rPr>
        <w:t xml:space="preserve">. </w:t>
      </w:r>
      <w:r>
        <w:rPr>
          <w:rtl w:val="true"/>
        </w:rPr>
        <w:t>כעבור כמה שנים הילד מת והאישה לוקחת את הגופה אל אלישע הנביא כדי שיחזיר אותו לחיים ואכן אלישע מחזיר אותו לחיים</w:t>
      </w:r>
      <w:r>
        <w:rPr>
          <w:rtl w:val="true"/>
        </w:rPr>
        <w:t xml:space="preserve">. </w:t>
      </w:r>
      <w:r>
        <w:rPr>
          <w:rtl w:val="true"/>
        </w:rPr>
        <w:t>גם בפרשת וירא – האנשים מבשרים את שרה שתלד ואכן היא יולדת בן</w:t>
      </w:r>
      <w:r>
        <w:rPr>
          <w:rtl w:val="true"/>
        </w:rPr>
        <w:t xml:space="preserve">, </w:t>
      </w:r>
      <w:r>
        <w:rPr>
          <w:rtl w:val="true"/>
        </w:rPr>
        <w:t>אלא שאחרי כמה שנים אברהם מצוות להרוג אותו ולבסוף יצחק ניצל בשחיטה</w:t>
      </w:r>
      <w:r>
        <w:rPr>
          <w:rtl w:val="true"/>
        </w:rPr>
        <w:t xml:space="preserve">, </w:t>
      </w:r>
      <w:r>
        <w:rPr>
          <w:rtl w:val="true"/>
        </w:rPr>
        <w:t>על הר המוריה</w:t>
      </w:r>
      <w:r>
        <w:rPr>
          <w:rtl w:val="true"/>
        </w:rPr>
        <w:t xml:space="preserve">. </w:t>
      </w:r>
      <w:r>
        <w:rPr>
          <w:rtl w:val="true"/>
        </w:rPr>
        <w:t>כלומר כיוון שהסיפורים מקבילים</w:t>
      </w:r>
      <w:r>
        <w:rPr>
          <w:rtl w:val="true"/>
        </w:rPr>
        <w:t xml:space="preserve">,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 חיברו את ההפטרה לפרשת וירא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אלא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שלמנהג הספרדים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לא קוראים את סיום הסיפור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אלא קריאת ההפטרה מסתיימת כאשר האישה בדרכה לקחת את גופת הילד אל הנביא אלישע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לכאורה הדבר תמוה מאוד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לסיים את ההפטרה בשיא המתח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וַתִּקְרָא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אִישָׁהּ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 שִׁלְחָה נָא לִי אֶחָד מִן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הַנְּעָרִים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וְאַחַת הָאֲתֹנוֹת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וְאָרוּצָה עַד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 הָאֱלֹקים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וְאָשׁוּבָה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מַדּוּעַ אַתְּ הֹלֶכֶת אֵלָיו הַיּוֹם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לֹא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חֹדֶשׁ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וְלֹא שַׁבָּת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שָׁלוֹם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.”</w:t>
      </w:r>
    </w:p>
    <w:p>
      <w:pPr>
        <w:pStyle w:val="Normal"/>
        <w:jc w:val="both"/>
        <w:rPr/>
      </w:pPr>
      <w:r>
        <w:rPr>
          <w:rtl w:val="true"/>
        </w:rPr>
        <w:t>האישה לא מספרת לבעלה למה היא נוסעת</w:t>
      </w:r>
      <w:r>
        <w:rPr>
          <w:rtl w:val="true"/>
        </w:rPr>
        <w:t xml:space="preserve">, </w:t>
      </w:r>
      <w:r>
        <w:rPr>
          <w:rtl w:val="true"/>
        </w:rPr>
        <w:t>וכאן עוצרים את הקריאה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מסביר הרב הדרי שהמסר פה הוא מכוון</w:t>
      </w:r>
      <w:r>
        <w:rPr>
          <w:rtl w:val="true"/>
        </w:rPr>
        <w:t xml:space="preserve">. </w:t>
      </w:r>
      <w:r>
        <w:rPr>
          <w:rtl w:val="true"/>
        </w:rPr>
        <w:t>באמצעות הפסקת הקריאה בנקודה זאת אנו מדגישים את האמונה שיש לאישה השונמית בנביא אלישע</w:t>
      </w:r>
      <w:r>
        <w:rPr>
          <w:rtl w:val="true"/>
        </w:rPr>
        <w:t xml:space="preserve">, </w:t>
      </w:r>
      <w:r>
        <w:rPr>
          <w:rtl w:val="true"/>
        </w:rPr>
        <w:t>ובכך שיש לו את היכולת לעזור</w:t>
      </w:r>
      <w:r>
        <w:rPr>
          <w:rtl w:val="true"/>
        </w:rPr>
        <w:t xml:space="preserve">. </w:t>
      </w:r>
      <w:r>
        <w:rPr>
          <w:rtl w:val="true"/>
        </w:rPr>
        <w:t>כלומר חז</w:t>
      </w:r>
      <w:r>
        <w:rPr>
          <w:rtl w:val="true"/>
        </w:rPr>
        <w:t>"</w:t>
      </w:r>
      <w:r>
        <w:rPr>
          <w:rtl w:val="true"/>
        </w:rPr>
        <w:t>ל מקבילים את האמונה של אברהם</w:t>
      </w:r>
      <w:r>
        <w:rPr>
          <w:rtl w:val="true"/>
        </w:rPr>
        <w:t xml:space="preserve">, </w:t>
      </w:r>
      <w:r>
        <w:rPr>
          <w:rtl w:val="true"/>
        </w:rPr>
        <w:t>בקחתו את בנו יחידו אל הר המוריה</w:t>
      </w:r>
      <w:r>
        <w:rPr>
          <w:rtl w:val="true"/>
        </w:rPr>
        <w:t xml:space="preserve">, </w:t>
      </w:r>
      <w:r>
        <w:rPr>
          <w:rtl w:val="true"/>
        </w:rPr>
        <w:t>באמונה מלאה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אל אמונת האישה השונמית</w:t>
      </w:r>
      <w:r>
        <w:rPr>
          <w:rtl w:val="true"/>
        </w:rPr>
        <w:t xml:space="preserve">. </w:t>
      </w:r>
      <w:r>
        <w:rPr>
          <w:rtl w:val="true"/>
        </w:rPr>
        <w:t>ברור להם שהקב</w:t>
      </w:r>
      <w:r>
        <w:rPr>
          <w:rtl w:val="true"/>
        </w:rPr>
        <w:t>"</w:t>
      </w:r>
      <w:r>
        <w:rPr>
          <w:rtl w:val="true"/>
        </w:rPr>
        <w:t>ה איתם ושומר עליהם</w:t>
      </w:r>
      <w:r>
        <w:rPr>
          <w:rtl w:val="true"/>
        </w:rPr>
        <w:t>. “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מבטא את הביטחון שהיה לה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רחב הזונה מול המרגלים</w:t>
      </w:r>
    </w:p>
    <w:p>
      <w:pPr>
        <w:pStyle w:val="Normal"/>
        <w:jc w:val="both"/>
        <w:rPr/>
      </w:pPr>
      <w:r>
        <w:rPr>
          <w:rtl w:val="true"/>
        </w:rPr>
        <w:t>הפטרת פרשת שלח</w:t>
      </w:r>
      <w:r>
        <w:rPr>
          <w:rtl w:val="true"/>
        </w:rPr>
        <w:t xml:space="preserve">, </w:t>
      </w:r>
      <w:r>
        <w:rPr>
          <w:rtl w:val="true"/>
        </w:rPr>
        <w:t>מספרת על המרגלים שיהושע שלח ליריחו כדי לרגל את הארץ</w:t>
      </w:r>
      <w:r>
        <w:rPr>
          <w:rtl w:val="true"/>
        </w:rPr>
        <w:t xml:space="preserve">, </w:t>
      </w:r>
      <w:r>
        <w:rPr>
          <w:rtl w:val="true"/>
        </w:rPr>
        <w:t>ערב הכניסה לארץ</w:t>
      </w:r>
      <w:r>
        <w:rPr>
          <w:rtl w:val="true"/>
        </w:rPr>
        <w:t xml:space="preserve">. </w:t>
      </w:r>
      <w:r>
        <w:rPr>
          <w:rtl w:val="true"/>
        </w:rPr>
        <w:t>מקובל לחשוב שהסיבה שחכמים הצמידו את ההפטרה לפרשה הזאת דווקא זה בגלל ההשוואה שיש בין המרגלים</w:t>
      </w:r>
      <w:r>
        <w:rPr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בעקבות </w:t>
      </w:r>
      <w:r>
        <w:rPr>
          <w:rtl w:val="true"/>
        </w:rPr>
        <w:t>המרגלים ששלח משה</w:t>
      </w:r>
      <w:r>
        <w:rPr>
          <w:rtl w:val="true"/>
        </w:rPr>
        <w:t xml:space="preserve">, </w:t>
      </w:r>
      <w:r>
        <w:rPr>
          <w:rtl w:val="true"/>
        </w:rPr>
        <w:t>שנשלחו באופן פומבי</w:t>
      </w:r>
      <w:r>
        <w:rPr>
          <w:rtl w:val="true"/>
        </w:rPr>
        <w:t xml:space="preserve">, </w:t>
      </w:r>
      <w:r>
        <w:rPr>
          <w:rtl w:val="true"/>
        </w:rPr>
        <w:t>עם ישראל נגזר ל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שנות נדודים במדבר</w:t>
      </w:r>
      <w:r>
        <w:rPr>
          <w:rtl w:val="true"/>
        </w:rPr>
        <w:t xml:space="preserve">, </w:t>
      </w:r>
      <w:r>
        <w:rPr>
          <w:rtl w:val="true"/>
        </w:rPr>
        <w:t>ואילו המרגלים ששלח יהושע נשלחו בצנעה</w:t>
      </w:r>
      <w:r>
        <w:rPr>
          <w:rtl w:val="true"/>
        </w:rPr>
        <w:t xml:space="preserve">, </w:t>
      </w:r>
      <w:r>
        <w:rPr>
          <w:rtl w:val="true"/>
        </w:rPr>
        <w:t>והיו הצלחה גדולה</w:t>
      </w:r>
      <w:r>
        <w:rPr>
          <w:rtl w:val="true"/>
        </w:rPr>
        <w:t xml:space="preserve">. </w:t>
      </w:r>
      <w:r>
        <w:rPr>
          <w:rtl w:val="true"/>
        </w:rPr>
        <w:t>הם חוזרים ואומרים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 “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וַיֹּאמְרוּ אֶל יְהוֹשֻׁעַ כִּי נָתַן יְהוָה בְּיָדֵנוּ אֶת כָּל הָאָרֶץ וְגַם נָמֹגוּ כָּל יֹשְׁבֵי הָאָרֶץ מִפָּנֵינוּ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כמו כן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ניתן לומר שההקבלה האמיתית שמסתתרת פה היא בין המרגלים ששלח משה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לבין </w:t>
      </w:r>
      <w:r>
        <w:rPr>
          <w:rtl w:val="true"/>
        </w:rPr>
        <w:t>רחב הזונה</w:t>
      </w:r>
      <w:r>
        <w:rPr>
          <w:rtl w:val="true"/>
        </w:rPr>
        <w:t xml:space="preserve">. </w:t>
      </w:r>
      <w:r>
        <w:rPr>
          <w:rtl w:val="true"/>
        </w:rPr>
        <w:t>המרגלים חסרי אמונה בצדקת דרכם</w:t>
      </w:r>
      <w:r>
        <w:rPr>
          <w:rtl w:val="true"/>
        </w:rPr>
        <w:t xml:space="preserve">, </w:t>
      </w:r>
      <w:r>
        <w:rPr>
          <w:rtl w:val="true"/>
        </w:rPr>
        <w:t>חוזרים ומתלוננים על הענקים</w:t>
      </w:r>
      <w:r>
        <w:rPr>
          <w:rtl w:val="true"/>
        </w:rPr>
        <w:t xml:space="preserve">, </w:t>
      </w:r>
      <w:r>
        <w:rPr>
          <w:rtl w:val="true"/>
        </w:rPr>
        <w:t>ועל עמלק</w:t>
      </w:r>
      <w:r>
        <w:rPr>
          <w:rtl w:val="true"/>
        </w:rPr>
        <w:t xml:space="preserve">, </w:t>
      </w:r>
      <w:r>
        <w:rPr>
          <w:rtl w:val="true"/>
        </w:rPr>
        <w:t>ואומרים שאין סיכוי</w:t>
      </w:r>
      <w:r>
        <w:rPr>
          <w:rtl w:val="true"/>
        </w:rPr>
        <w:t xml:space="preserve">, </w:t>
      </w:r>
      <w:r>
        <w:rPr>
          <w:rtl w:val="true"/>
        </w:rPr>
        <w:t>לעומת זאת רחב הזונה מיריחו</w:t>
      </w:r>
      <w:r>
        <w:rPr>
          <w:rtl w:val="true"/>
        </w:rPr>
        <w:t xml:space="preserve">, </w:t>
      </w:r>
      <w:r>
        <w:rPr>
          <w:rtl w:val="true"/>
        </w:rPr>
        <w:t>שהיא בתחתית המדרגה</w:t>
      </w:r>
      <w:r>
        <w:rPr>
          <w:rtl w:val="true"/>
        </w:rPr>
        <w:t xml:space="preserve">, </w:t>
      </w:r>
      <w:r>
        <w:rPr>
          <w:rtl w:val="true"/>
        </w:rPr>
        <w:t>היא מגלה אמונה גדולה בקב</w:t>
      </w:r>
      <w:r>
        <w:rPr>
          <w:rtl w:val="true"/>
        </w:rPr>
        <w:t>"</w:t>
      </w:r>
      <w:r>
        <w:rPr>
          <w:rtl w:val="true"/>
        </w:rPr>
        <w:t>ה ואומרת</w:t>
      </w:r>
      <w:r>
        <w:rPr>
          <w:rtl w:val="true"/>
        </w:rPr>
        <w:t>: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וַתֹּאמֶר אֶל הָאֲנָשִׁים יָדַעְתִּי כִּי נָתַן יְהוָה לָכֶם אֶת הָאָרֶץ וְכִי נָפְלָה אֵימַתְכֶם עָלֵינוּ וְכִי נָמֹגוּ כָּל יֹשְׁבֵי הָאָרֶץ מִפְּנֵיכֶם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 שָׁמַעְנוּ אֵת אֲשֶׁר הוֹבִישׁ יְהוָה אֶת מֵי יַם סוּף מִפְּנֵיכֶם בְּצֵאתְכֶם מִמִּצְרָיִם וַאֲשֶׁר עֲשִׂיתֶם לִשְׁנֵי מַלְכֵי הָאֱמֹרִי אֲשֶׁר בְּעֵבֶר הַיַּרְדֵּן לְסִיחֹן וּלְעוֹג אֲשֶׁר הֶחֱרַמְתֶּם אוֹתָם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וַנִּשְׁמַע וַיִּמַּס לְבָבֵנוּ וְלֹא קָמָה עוֹד רוּחַ בְּאִישׁ מִפְּנֵיכֶם כִּי יְהוָה אֱלֹהֵיכֶם הוּא אֱלֹהִים בַּשָּׁמַיִם מִמַּעַל וְעַל הָאָרֶץ מִתָּחַת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</w:p>
    <w:p>
      <w:pPr>
        <w:pStyle w:val="Normal"/>
        <w:jc w:val="both"/>
        <w:rPr/>
      </w:pPr>
      <w:r>
        <w:rPr>
          <w:rtl w:val="true"/>
        </w:rPr>
        <w:t>אפשר לראות את האמונה שיש לה</w:t>
      </w:r>
      <w:r>
        <w:rPr>
          <w:rtl w:val="true"/>
        </w:rPr>
        <w:t xml:space="preserve">, </w:t>
      </w:r>
      <w:r>
        <w:rPr>
          <w:rtl w:val="true"/>
        </w:rPr>
        <w:t>שעם ישראל יגיע אל הארץ</w:t>
      </w:r>
      <w:r>
        <w:rPr>
          <w:rtl w:val="true"/>
        </w:rPr>
        <w:t xml:space="preserve">, </w:t>
      </w:r>
      <w:r>
        <w:rPr>
          <w:rtl w:val="true"/>
        </w:rPr>
        <w:t>ויכבוש אותה</w:t>
      </w:r>
      <w:r>
        <w:rPr>
          <w:rtl w:val="true"/>
        </w:rPr>
        <w:t xml:space="preserve">, </w:t>
      </w:r>
      <w:r>
        <w:rPr>
          <w:rtl w:val="true"/>
        </w:rPr>
        <w:t>ושה’ יתן את אויבינו בידינו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כנגד גדולי האומה</w:t>
      </w:r>
      <w:r>
        <w:rPr>
          <w:rtl w:val="true"/>
        </w:rPr>
        <w:t xml:space="preserve">, </w:t>
      </w:r>
      <w:r>
        <w:rPr>
          <w:rtl w:val="true"/>
        </w:rPr>
        <w:t>שני עשר המרגלים שנבחרו לתור את הארץ</w:t>
      </w:r>
      <w:r>
        <w:rPr>
          <w:rtl w:val="true"/>
        </w:rPr>
        <w:t xml:space="preserve">, </w:t>
      </w:r>
      <w:r>
        <w:rPr>
          <w:rtl w:val="true"/>
        </w:rPr>
        <w:t>חסרי אמונה</w:t>
      </w:r>
      <w:r>
        <w:rPr>
          <w:rtl w:val="true"/>
        </w:rPr>
        <w:t xml:space="preserve">, </w:t>
      </w:r>
      <w:r>
        <w:rPr>
          <w:rtl w:val="true"/>
        </w:rPr>
        <w:t>נצבת לה אישה כנענית</w:t>
      </w:r>
      <w:r>
        <w:rPr>
          <w:rtl w:val="true"/>
        </w:rPr>
        <w:t xml:space="preserve">, </w:t>
      </w:r>
      <w:r>
        <w:rPr>
          <w:rtl w:val="true"/>
        </w:rPr>
        <w:t>זונה מיריחו</w:t>
      </w:r>
      <w:r>
        <w:rPr>
          <w:rtl w:val="true"/>
        </w:rPr>
        <w:t xml:space="preserve">, </w:t>
      </w:r>
      <w:r>
        <w:rPr>
          <w:rtl w:val="true"/>
        </w:rPr>
        <w:t>שלה יש אמונה שלימה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b/>
          <w:b/>
          <w:bCs/>
          <w:rtl w:val="true"/>
        </w:rPr>
        <w:t>חגים</w:t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והעיר שושן נבוכה – כמו המערב מול אנטישמיות</w:t>
      </w:r>
    </w:p>
    <w:p>
      <w:pPr>
        <w:pStyle w:val="Normal"/>
        <w:jc w:val="both"/>
        <w:rPr/>
      </w:pPr>
      <w:r>
        <w:rPr>
          <w:rtl w:val="true"/>
        </w:rPr>
        <w:t>המן 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מייד אחרי זה מתואר ככה</w:t>
      </w:r>
      <w:r>
        <w:rPr>
          <w:rtl w:val="true"/>
        </w:rPr>
        <w:t>: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מה הכוונה שהעיר שושן נבוכה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?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מילה יוצאת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ולא כלכך מתאימה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אלא שזה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אסור לומר את זה וכו’ וכולם נבוכים למעשה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b/>
          <w:b/>
          <w:bCs/>
          <w:rtl w:val="true"/>
        </w:rPr>
        <w:t>רעיונות</w:t>
      </w:r>
    </w:p>
    <w:p>
      <w:pPr>
        <w:pStyle w:val="Normal"/>
        <w:spacing w:before="0" w:after="160"/>
        <w:jc w:val="both"/>
        <w:rPr/>
      </w:pPr>
      <w:r>
        <w:rPr>
          <w:rtl w:val="true"/>
        </w:rPr>
        <w:t xml:space="preserve">קהלת –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קולות במגילה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LibreOffice/7.4.6.2$Linux_X86_64 LibreOffice_project/40$Build-2</Application>
  <AppVersion>15.0000</AppVersion>
  <Pages>6</Pages>
  <Words>1597</Words>
  <Characters>7005</Characters>
  <CharactersWithSpaces>8568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2023-04-16T18:39:28Z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