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Топологический конвейер topo-stress на транскриптомных данных TCGA-LUAD (n = 601): реальные биологические группы против бесконтрольного PC1-сплита</w:t>
      </w:r>
    </w:p>
    <w:p>
      <w:pPr>
        <w:pStyle w:val="Heading1"/>
      </w:pPr>
      <w:r>
        <w:t>Аннотация</w:t>
      </w:r>
    </w:p>
    <w:p>
      <w:pPr>
        <w:jc w:val="both"/>
      </w:pPr>
      <w:r>
        <w:t xml:space="preserve">Мультиметодный байесовско-топологический конвейер topo-stress, валидированный ранее на данных физиологии стресса (MMASH, MAST), применён к транскриптомам 601 образца TCGA-LUAD (аденокарцинома лёгкого) из NCI Genomic Data Commons. В отличие от первоначального анализа, в котором двухгрупповая структура задавалась знаком первой главной компоненты (PC1±) в отсутствие фенотипа, здесь установлены </w:t>
      </w:r>
      <w:r>
        <w:rPr>
          <w:b/>
        </w:rPr>
        <w:t>реальные биологические группы</w:t>
      </w:r>
      <w:r>
        <w:t xml:space="preserve">: </w:t>
      </w:r>
      <w:r>
        <w:rPr>
          <w:b/>
        </w:rPr>
        <w:t>опухоль (n = 542) против нормальной ткани (n = 59)</w:t>
      </w:r>
      <w:r>
        <w:t xml:space="preserve">; выборка включает 518 уникальных пациентов, в том числе 58 пар «опухоль+норма» от одних пациентов (matched-дизайн). Топологическая дивергенция на реальных группах на 500-мерном пространстве высоковариабельных генов составляет </w:t>
      </w:r>
      <w:r>
        <w:rPr>
          <w:b/>
        </w:rPr>
        <w:t>d̄_topo = 0.600 (p &lt; 0.005)</w:t>
      </w:r>
      <w:r>
        <w:t xml:space="preserve"> — в 22 раза больше, чем на PC1-сплите (0.027): биологический сигнал опухоль/норма топологически выражен многократно сильнее, чем внутриопухолевый градиент. Спектры корреляционных матриц обеих групп резко превышают границы Марченко–Пастура (λ_max/λ₊ = 22.7 и 5.6). HSIC показывает, что значимая нелинейная связь ведущих генов SFTPC×BPIFA1, найденная ранее на полной выборке, </w:t>
      </w:r>
      <w:r>
        <w:rPr>
          <w:b/>
        </w:rPr>
        <w:t>исчезает внутри групп</w:t>
      </w:r>
      <w:r>
        <w:t xml:space="preserve"> (p = 0.09/0.48) — она была артефактом смеси опухолевой и нормальной ткани. Теория экстремальных значений: хвосты максимумов экспрессии тяжёлые (Фреше) в обеих группах, уровень возврата RL99 у опухолей выше (18.02 против 13.14, пермутационный p = 0.005). Байесовская модель с учётом matched-дизайна и пластины: эффект ткани на SFTPC = </w:t>
      </w:r>
      <w:r>
        <w:rPr>
          <w:b/>
        </w:rPr>
        <w:t>−5.62 (94% HDI [−6.21, −4.95]), R̂ = 1.002, 0 расходимостей</w:t>
      </w:r>
      <w:r>
        <w:t>. Проверка батч-эффектов выявила эффект пластины в PC3–PC5 (R² до 0.36) при доминировании биологического сигнала в PC1–PC2. PC1-сплит не совпадает с биологией: все 59 норм лежат в PC1+, согласие со статусом ткани всего 40%.</w:t>
      </w:r>
    </w:p>
    <w:p>
      <w:pPr>
        <w:pStyle w:val="Heading1"/>
      </w:pPr>
      <w:r>
        <w:t>1. Введение</w:t>
      </w:r>
    </w:p>
    <w:p>
      <w:pPr>
        <w:jc w:val="both"/>
      </w:pPr>
      <w:r>
        <w:t>В предыдущих работах конвейер topo-stress был разработан и валидирован на физиологии стресса: нормированная топологическая дивергенция d̄_topo разделяла группы острой стресс-пробы (MAST, n = 371, p &lt; 0.002), байесовский иерархический анализ выявлял устойчивые групповые взаимодействия, а информационная геометрия выделяла физиотипы с аномальным ответом. Затем конвейер без изменений был перенесён на транскриптомные данные GDC (601 образец, 500 высоковариабельных генов). В той работе двухгрупповая структура была задана математически — знаком PC1, поскольку фенотип в манифесте загрузки отсутствовал. Этот подход принципиально важен как стресс-тест переносимости: он показал, что все шесть модулей конвейера работают на высокоразмерных данных.</w:t>
      </w:r>
    </w:p>
    <w:p>
      <w:pPr>
        <w:jc w:val="both"/>
      </w:pPr>
      <w:r>
        <w:t xml:space="preserve">Однако полученные после загрузки метаданные (sample sheet NCI GDC) позволяют заменить бесконтрольный сплит </w:t>
      </w:r>
      <w:r>
        <w:rPr>
          <w:b/>
        </w:rPr>
        <w:t>реальной биологической группировкой</w:t>
      </w:r>
      <w:r>
        <w:t>. Все 601 файл принадлежат проекту TCGA-LUAD и делятся на опухолевые образцы (542) и нормальную ткань (59), что даёт классическую постановку транскриптомного сравнения «опухоль против нормы». Задачи работы: (i) пересчитать весь конвейер на реальных группах; (ii) количественно сопоставить PC1-сплит с реальной биологией; (iii) проверить батч-эффекты (пластина, секвенирующий центр) и учесть их в статистических моделях; (iv) показать, какие выводы первоначального анализа были артефактом смеси тканей, а какие — устойчивы.</w:t>
      </w:r>
    </w:p>
    <w:p>
      <w:pPr>
        <w:pStyle w:val="Heading1"/>
      </w:pPr>
      <w:r>
        <w:t>2. Данные</w:t>
      </w:r>
    </w:p>
    <w:p>
      <w:pPr>
        <w:jc w:val="both"/>
      </w:pPr>
      <w:r>
        <w:rPr>
          <w:b/>
        </w:rPr>
        <w:t>Состав выборки.</w:t>
      </w:r>
      <w:r>
        <w:t xml:space="preserve"> 601 файл RNA-seq (STAR gene counts, GENCODE v36) из NCI Genomic Data Commons (portal.gdc.cancer.gov), все с открытым доступом. Sample sheet GDC даёт связку file_id → case_id и клинико-лабораторные метки: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Признак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Проект</w:t>
            </w:r>
          </w:p>
        </w:tc>
        <w:tc>
          <w:tcPr>
            <w:tcW w:type="dxa" w:w="4320"/>
          </w:tcPr>
          <w:p>
            <w:r>
              <w:t>TCGA-LUAD (100% выборки)</w:t>
            </w:r>
          </w:p>
        </w:tc>
      </w:tr>
      <w:tr>
        <w:tc>
          <w:tcPr>
            <w:tcW w:type="dxa" w:w="4320"/>
          </w:tcPr>
          <w:p>
            <w:r>
              <w:t>Ткань: опухоль / норма</w:t>
            </w:r>
          </w:p>
        </w:tc>
        <w:tc>
          <w:tcPr>
            <w:tcW w:type="dxa" w:w="4320"/>
          </w:tcPr>
          <w:p>
            <w:r>
              <w:t>542 / 59</w:t>
            </w:r>
          </w:p>
        </w:tc>
      </w:tr>
      <w:tr>
        <w:tc>
          <w:tcPr>
            <w:tcW w:type="dxa" w:w="4320"/>
          </w:tcPr>
          <w:p>
            <w:r>
              <w:t>Тип опухоли</w:t>
            </w:r>
          </w:p>
        </w:tc>
        <w:tc>
          <w:tcPr>
            <w:tcW w:type="dxa" w:w="4320"/>
          </w:tcPr>
          <w:p>
            <w:r>
              <w:t>540 первичных, 2 рецидива</w:t>
            </w:r>
          </w:p>
        </w:tc>
      </w:tr>
      <w:tr>
        <w:tc>
          <w:tcPr>
            <w:tcW w:type="dxa" w:w="4320"/>
          </w:tcPr>
          <w:p>
            <w:r>
              <w:t>Уникальных пациентов</w:t>
            </w:r>
          </w:p>
        </w:tc>
        <w:tc>
          <w:tcPr>
            <w:tcW w:type="dxa" w:w="4320"/>
          </w:tcPr>
          <w:p>
            <w:r>
              <w:t>518</w:t>
            </w:r>
          </w:p>
        </w:tc>
      </w:tr>
      <w:tr>
        <w:tc>
          <w:tcPr>
            <w:tcW w:type="dxa" w:w="4320"/>
          </w:tcPr>
          <w:p>
            <w:r>
              <w:t>Пациентов с 2–4 файлами</w:t>
            </w:r>
          </w:p>
        </w:tc>
        <w:tc>
          <w:tcPr>
            <w:tcW w:type="dxa" w:w="4320"/>
          </w:tcPr>
          <w:p>
            <w:r>
              <w:t>66 (из них 58 пар «опухоль+норма»)</w:t>
            </w:r>
          </w:p>
        </w:tc>
      </w:tr>
      <w:tr>
        <w:tc>
          <w:tcPr>
            <w:tcW w:type="dxa" w:w="4320"/>
          </w:tcPr>
          <w:p>
            <w:r>
              <w:t>Сохранность</w:t>
            </w:r>
          </w:p>
        </w:tc>
        <w:tc>
          <w:tcPr>
            <w:tcW w:type="dxa" w:w="4320"/>
          </w:tcPr>
          <w:p>
            <w:r>
              <w:t>OCT 83, FFPE 12, неизвестно 506</w:t>
            </w:r>
          </w:p>
        </w:tc>
      </w:tr>
    </w:tbl>
    <w:p>
      <w:pPr>
        <w:jc w:val="both"/>
      </w:pPr>
      <w:r>
        <w:t>Matched-дизайн (58 пациентов с парой опухоль+норма) учтён в байесовской модели случайным эффектом пациента.</w:t>
      </w:r>
    </w:p>
    <w:p>
      <w:pPr>
        <w:jc w:val="both"/>
      </w:pPr>
      <w:r>
        <w:rPr>
          <w:b/>
        </w:rPr>
        <w:t>Технические метаданные.</w:t>
      </w:r>
      <w:r>
        <w:t xml:space="preserve"> Для каждого файла по штрихкоду аликвоты (TCGA-XX-XXXX-XXA-XXA-XXXX-XX, получен через API GDC) извлечены plate_id и секвенирующий центр: 26 уникальных пластин, секвенирующий центр практически константен (600 файлов — центр 07, один файл — центр 41).</w:t>
      </w:r>
    </w:p>
    <w:p>
      <w:pPr>
        <w:jc w:val="both"/>
      </w:pPr>
      <w:r>
        <w:rPr>
          <w:b/>
        </w:rPr>
        <w:t>Предобработка.</w:t>
      </w:r>
      <w:r>
        <w:t xml:space="preserve"> Как и в первоначальном анализе: колонка tpm_unstranded, log1p-преобразование, внутреннее соединение по генам (59 427 генов × 601 образец), отбор 500 высоковариабельных генов (HVG). Ведущие HVG — SFTPC, BPIFA1, PGC — лёгочные дифференцировочные маркёры.</w:t>
      </w:r>
    </w:p>
    <w:p>
      <w:pPr>
        <w:jc w:val="both"/>
      </w:pPr>
      <w:r>
        <w:rPr>
          <w:b/>
        </w:rPr>
        <w:t>Проверка батч-эффектов (PCA).</w:t>
      </w:r>
      <w:r>
        <w:t xml:space="preserve"> Дисперсия главных компонент: PC1 19.3%, PC2 10.6%, PC3 6.1%, PC4 5.0%, PC5 4.4%. Ассоциация компонент с факторами (R², пермутационный тест 199 перестановок):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Компонента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Ткань (R², 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Пластина (R², 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Центр (R², p)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0.245, 0.005</w:t>
            </w:r>
          </w:p>
        </w:tc>
        <w:tc>
          <w:tcPr>
            <w:tcW w:type="dxa" w:w="2160"/>
          </w:tcPr>
          <w:p>
            <w:r>
              <w:t>0.112, 0.005</w:t>
            </w:r>
          </w:p>
        </w:tc>
        <w:tc>
          <w:tcPr>
            <w:tcW w:type="dxa" w:w="2160"/>
          </w:tcPr>
          <w:p>
            <w:r>
              <w:t>0.001, 0.60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0.173, 0.005</w:t>
            </w:r>
          </w:p>
        </w:tc>
        <w:tc>
          <w:tcPr>
            <w:tcW w:type="dxa" w:w="2160"/>
          </w:tcPr>
          <w:p>
            <w:r>
              <w:t>0.127, 0.005</w:t>
            </w:r>
          </w:p>
        </w:tc>
        <w:tc>
          <w:tcPr>
            <w:tcW w:type="dxa" w:w="2160"/>
          </w:tcPr>
          <w:p>
            <w:r>
              <w:t>0.007, 0.05</w:t>
            </w:r>
          </w:p>
        </w:tc>
      </w:tr>
      <w:tr>
        <w:tc>
          <w:tcPr>
            <w:tcW w:type="dxa" w:w="2160"/>
          </w:tcPr>
          <w:p>
            <w:r>
              <w:t>PC3</w:t>
            </w:r>
          </w:p>
        </w:tc>
        <w:tc>
          <w:tcPr>
            <w:tcW w:type="dxa" w:w="2160"/>
          </w:tcPr>
          <w:p>
            <w:r>
              <w:t>0.001, 0.38</w:t>
            </w:r>
          </w:p>
        </w:tc>
        <w:tc>
          <w:tcPr>
            <w:tcW w:type="dxa" w:w="2160"/>
          </w:tcPr>
          <w:p>
            <w:r>
              <w:t>0.143, 0.005</w:t>
            </w:r>
          </w:p>
        </w:tc>
        <w:tc>
          <w:tcPr>
            <w:tcW w:type="dxa" w:w="2160"/>
          </w:tcPr>
          <w:p>
            <w:r>
              <w:t>0.001, 0.55</w:t>
            </w:r>
          </w:p>
        </w:tc>
      </w:tr>
      <w:tr>
        <w:tc>
          <w:tcPr>
            <w:tcW w:type="dxa" w:w="2160"/>
          </w:tcPr>
          <w:p>
            <w:r>
              <w:t>PC4</w:t>
            </w:r>
          </w:p>
        </w:tc>
        <w:tc>
          <w:tcPr>
            <w:tcW w:type="dxa" w:w="2160"/>
          </w:tcPr>
          <w:p>
            <w:r>
              <w:t>0.169, 0.005</w:t>
            </w:r>
          </w:p>
        </w:tc>
        <w:tc>
          <w:tcPr>
            <w:tcW w:type="dxa" w:w="2160"/>
          </w:tcPr>
          <w:p>
            <w:r>
              <w:t>0.215, 0.005</w:t>
            </w:r>
          </w:p>
        </w:tc>
        <w:tc>
          <w:tcPr>
            <w:tcW w:type="dxa" w:w="2160"/>
          </w:tcPr>
          <w:p>
            <w:r>
              <w:t>0.016, 0.01</w:t>
            </w:r>
          </w:p>
        </w:tc>
      </w:tr>
      <w:tr>
        <w:tc>
          <w:tcPr>
            <w:tcW w:type="dxa" w:w="2160"/>
          </w:tcPr>
          <w:p>
            <w:r>
              <w:t>PC5</w:t>
            </w:r>
          </w:p>
        </w:tc>
        <w:tc>
          <w:tcPr>
            <w:tcW w:type="dxa" w:w="2160"/>
          </w:tcPr>
          <w:p>
            <w:r>
              <w:t>0.098, 0.005</w:t>
            </w:r>
          </w:p>
        </w:tc>
        <w:tc>
          <w:tcPr>
            <w:tcW w:type="dxa" w:w="2160"/>
          </w:tcPr>
          <w:p>
            <w:r>
              <w:t>0.363, 0.005</w:t>
            </w:r>
          </w:p>
        </w:tc>
        <w:tc>
          <w:tcPr>
            <w:tcW w:type="dxa" w:w="2160"/>
          </w:tcPr>
          <w:p>
            <w:r>
              <w:t>0.004, 0.11</w:t>
            </w:r>
          </w:p>
        </w:tc>
      </w:tr>
    </w:tbl>
    <w:p>
      <w:pPr>
        <w:jc w:val="both"/>
      </w:pPr>
      <w:r>
        <w:t>Биологический сигнал (ткань) доминирует на PC1–PC2; батч-эффект пластины присутствует и растёт к PC5 (R² = 0.36). Поэтому пластина включена ковариатой/случайным эффектом в байесовскую модель. Эффект секвенирующего центра пренебрежимо мал (одна пластина центра 41).</w:t>
      </w:r>
    </w:p>
    <w:p>
      <w:pPr>
        <w:pStyle w:val="Heading1"/>
      </w:pPr>
      <w:r>
        <w:t>3. Методы</w:t>
      </w:r>
    </w:p>
    <w:p>
      <w:pPr>
        <w:pStyle w:val="Heading2"/>
      </w:pPr>
      <w:r>
        <w:t>3.1 Топологический анализ данных (TDA)</w:t>
      </w:r>
    </w:p>
    <w:p>
      <w:pPr>
        <w:jc w:val="both"/>
      </w:pPr>
      <w:r>
        <w:t>Нормированная дивергенция на кривых нулевой гомологии фильтрации Вьеториса–Рипса:</w:t>
      </w:r>
    </w:p>
    <w:p>
      <w:pPr>
        <w:jc w:val="both"/>
      </w:pPr>
      <w:r>
        <w:t>β̄₀(t; X) = β₀(t·D; X) / n̄, n̄ = (n₁ + n₂)/2, D = diam(X ∪ Y),</w:t>
      </w:r>
    </w:p>
    <w:p>
      <w:pPr>
        <w:jc w:val="both"/>
      </w:pPr>
      <w:r>
        <w:t>d̄_topo = ∫₀¹ |β̄₀(t; A) − β̄₀(t; B)| dt,</w:t>
      </w:r>
    </w:p>
    <w:p>
      <w:pPr>
        <w:jc w:val="both"/>
      </w:pPr>
      <w:r>
        <w:t>с аппроксимацией интеграла по сетке n_eps = 100 и пермутационным тестом на уровне образцов (199 пермутаций, минимально достижимое p = 0.005). Дополнительно — комбинированная метрика d_comb с весами λ₁ = λ₂ = 0.5.</w:t>
      </w:r>
    </w:p>
    <w:p>
      <w:pPr>
        <w:pStyle w:val="Heading2"/>
      </w:pPr>
      <w:r>
        <w:t>3.2 Случайные матрицы (RMT)</w:t>
      </w:r>
    </w:p>
    <w:p>
      <w:pPr>
        <w:jc w:val="both"/>
      </w:pPr>
      <w:r>
        <w:t>Спектр корреляционной матрицы p = 500 генов против границы Марченко–Пастура λ± = (1 ± √q)², q = p/n, вычисленный отдельно для опухолей (q = 0.92, λ₊ = 3.84) и нормы (q = 8.47, λ₊ = 15.30). Для нормы q &gt; 1: выборочная корреляционная матрица вырождена (rank ≤ n − 1), сравнение с λ₊ интерпретируется как вспомогательное.</w:t>
      </w:r>
    </w:p>
    <w:p>
      <w:pPr>
        <w:pStyle w:val="Heading2"/>
      </w:pPr>
      <w:r>
        <w:t>3.3 HSIC (нелинейные зависимости)</w:t>
      </w:r>
    </w:p>
    <w:p>
      <w:pPr>
        <w:jc w:val="both"/>
      </w:pPr>
      <w:r>
        <w:t>HSIC с RBF-ядром (медианная ширина) и пермутационным тестом (199 пермутаций): (а) связь бинарной метки ткани с экспрессией каждого из ведущих генов; (б) связь SFTPC×BPIFA1 отдельно внутри опухолей и внутри нормы — для проверки гипотезы об артефакте смеси.</w:t>
      </w:r>
    </w:p>
    <w:p>
      <w:pPr>
        <w:pStyle w:val="Heading2"/>
      </w:pPr>
      <w:r>
        <w:t>3.4 Теория экстремальных значений (EVT)</w:t>
      </w:r>
    </w:p>
    <w:p>
      <w:pPr>
        <w:jc w:val="both"/>
      </w:pPr>
      <w:r>
        <w:t>Для каждого образца максимум log1p(TPM) по 500 генам; GEV-подгонка (метод максимального правдоподобия) отдельно для групп; уровни возврата RL99; пермутационный тест разности RL99 (199 пермутаций меток групп, полный пересчёт GEV в каждой перестановке).</w:t>
      </w:r>
    </w:p>
    <w:p>
      <w:pPr>
        <w:pStyle w:val="Heading2"/>
      </w:pPr>
      <w:r>
        <w:t>3.5 Байесовская модель</w:t>
      </w:r>
    </w:p>
    <w:p>
      <w:pPr>
        <w:jc w:val="both"/>
      </w:pPr>
      <w:r>
        <w:t>Лог-экспрессия SFTPC: y ~ 1 + tissue + (1|patient) + (1|plate), где случайный эффект пациента учитывает matched-дизайн (58 пар), случайный эффект пластины — батч. NUTS (Bambi/PyMC), 2 цепи × (500 прогрев + 500 пост-выборок), target_accept = 0.999. Первоначальная спецификация с пластиной как фиксированным эффектом (26 уровней) давала 97 расходимостей; переход к случайным эффектам и target_accept = 0.999 устранил расходимости полностью.</w:t>
      </w:r>
    </w:p>
    <w:p>
      <w:pPr>
        <w:pStyle w:val="Heading2"/>
      </w:pPr>
      <w:r>
        <w:t>3.6 Информационная геометрия / физиотипы</w:t>
      </w:r>
    </w:p>
    <w:p>
      <w:pPr>
        <w:jc w:val="both"/>
      </w:pPr>
      <w:r>
        <w:t>Векторы экспрессии первых 200 генов нормируются на симплекс; попарные расстояния Вассерштейна; метрическое MDS; кластеризация Уорда на три физиотипа; связь с тканью — критерий χ².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 TDA: реальные группы против PC1-сплита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PC1+ vs PC1− (прежний анализ)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Tumor vs Normal (настоящий)</w:t>
            </w:r>
          </w:p>
        </w:tc>
      </w:tr>
      <w:tr>
        <w:tc>
          <w:tcPr>
            <w:tcW w:type="dxa" w:w="2880"/>
          </w:tcPr>
          <w:p>
            <w:r>
              <w:t>d̄_topo</w:t>
            </w:r>
          </w:p>
        </w:tc>
        <w:tc>
          <w:tcPr>
            <w:tcW w:type="dxa" w:w="2880"/>
          </w:tcPr>
          <w:p>
            <w:r>
              <w:t>0.027</w:t>
            </w:r>
          </w:p>
        </w:tc>
        <w:tc>
          <w:tcPr>
            <w:tcW w:type="dxa" w:w="2880"/>
          </w:tcPr>
          <w:p>
            <w:r>
              <w:t>0.600</w:t>
            </w:r>
          </w:p>
        </w:tc>
      </w:tr>
      <w:tr>
        <w:tc>
          <w:tcPr>
            <w:tcW w:type="dxa" w:w="2880"/>
          </w:tcPr>
          <w:p>
            <w:r>
              <w:t>d_comb</w:t>
            </w:r>
          </w:p>
        </w:tc>
        <w:tc>
          <w:tcPr>
            <w:tcW w:type="dxa" w:w="2880"/>
          </w:tcPr>
          <w:p>
            <w:r>
              <w:t>11.81</w:t>
            </w:r>
          </w:p>
        </w:tc>
        <w:tc>
          <w:tcPr>
            <w:tcW w:type="dxa" w:w="2880"/>
          </w:tcPr>
          <w:p>
            <w:r>
              <w:t>16.69</w:t>
            </w:r>
          </w:p>
        </w:tc>
      </w:tr>
      <w:tr>
        <w:tc>
          <w:tcPr>
            <w:tcW w:type="dxa" w:w="2880"/>
          </w:tcPr>
          <w:p>
            <w:r>
              <w:t>p (199 пермутаций)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</w:tr>
    </w:tbl>
    <w:p>
      <w:pPr>
        <w:jc w:val="both"/>
      </w:pPr>
      <w:r>
        <w:t xml:space="preserve">На реальных группах топологическая дивергенция в </w:t>
      </w:r>
      <w:r>
        <w:rPr>
          <w:b/>
        </w:rPr>
        <w:t>22 раза</w:t>
      </w:r>
      <w:r>
        <w:t xml:space="preserve"> больше: форма облака точек опухолей и нормальной ткани различается радикально сильнее, чем двух полюсов внутриопухолевого градиента. Значимость максимальная при данном разрешении (p &lt; 0.005).</w:t>
      </w:r>
    </w:p>
    <w:p>
      <w:pPr>
        <w:pStyle w:val="Heading2"/>
      </w:pPr>
      <w:r>
        <w:t>4.2 RMT 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λ₊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λ_max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доля выше λ₊</w:t>
            </w:r>
          </w:p>
        </w:tc>
      </w:tr>
      <w:tr>
        <w:tc>
          <w:tcPr>
            <w:tcW w:type="dxa" w:w="1440"/>
          </w:tcPr>
          <w:p>
            <w:r>
              <w:t>Tumor</w:t>
            </w:r>
          </w:p>
        </w:tc>
        <w:tc>
          <w:tcPr>
            <w:tcW w:type="dxa" w:w="1440"/>
          </w:tcPr>
          <w:p>
            <w:r>
              <w:t>542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3.84</w:t>
            </w:r>
          </w:p>
        </w:tc>
        <w:tc>
          <w:tcPr>
            <w:tcW w:type="dxa" w:w="1440"/>
          </w:tcPr>
          <w:p>
            <w:r>
              <w:t>87.06</w:t>
            </w:r>
          </w:p>
        </w:tc>
        <w:tc>
          <w:tcPr>
            <w:tcW w:type="dxa" w:w="1440"/>
          </w:tcPr>
          <w:p>
            <w:r>
              <w:t>3.4%</w:t>
            </w:r>
          </w:p>
        </w:tc>
      </w:tr>
      <w:tr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8.47</w:t>
            </w:r>
          </w:p>
        </w:tc>
        <w:tc>
          <w:tcPr>
            <w:tcW w:type="dxa" w:w="1440"/>
          </w:tcPr>
          <w:p>
            <w:r>
              <w:t>15.30</w:t>
            </w:r>
          </w:p>
        </w:tc>
        <w:tc>
          <w:tcPr>
            <w:tcW w:type="dxa" w:w="1440"/>
          </w:tcPr>
          <w:p>
            <w:r>
              <w:t>85.53</w:t>
            </w:r>
          </w:p>
        </w:tc>
        <w:tc>
          <w:tcPr>
            <w:tcW w:type="dxa" w:w="1440"/>
          </w:tcPr>
          <w:p>
            <w:r>
              <w:t>1.4%</w:t>
            </w:r>
          </w:p>
        </w:tc>
      </w:tr>
    </w:tbl>
    <w:p>
      <w:pPr>
        <w:jc w:val="both"/>
      </w:pPr>
      <w:r>
        <w:t>В обеих группах максимальное собственное значение многократно превышает границу шума Марченко–Пастура (в 22.7 и 5.6 раза): структура ковариации глубоко нетривиальна и внутри опухолей, и внутри нормы; λ_max ≈ 85–87 при следе матрицы 500 означает, что один скрытый фактор объясняет ≈ 17% суммарной дисперсии в каждой группе.</w:t>
      </w:r>
    </w:p>
    <w:p>
      <w:pPr>
        <w:jc w:val="both"/>
      </w:pPr>
      <w:r>
        <w:rPr>
          <w:b/>
        </w:rPr>
        <w:t>Биологическая идентификация модуля λ_max.</w:t>
      </w:r>
      <w:r>
        <w:t xml:space="preserve"> Верхний собственный вектор корреляционной матрицы в обеих группах набран практически исключительно генами иммуноглобулинов: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Топ-8 генов</w:t>
            </w:r>
          </w:p>
        </w:tc>
      </w:tr>
      <w:tr>
        <w:tc>
          <w:tcPr>
            <w:tcW w:type="dxa" w:w="4320"/>
          </w:tcPr>
          <w:p>
            <w:r>
              <w:t>Tumor</w:t>
            </w:r>
          </w:p>
        </w:tc>
        <w:tc>
          <w:tcPr>
            <w:tcW w:type="dxa" w:w="4320"/>
          </w:tcPr>
          <w:p>
            <w:r>
              <w:t>IGKC, IGKV3-20, IGKV1-5, IGKV3-11, IGKV3-15, IGHV1-18, IGLC2, IGHV5-51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IGKC, IGKV3-15, IGKV3-20, IGHV5-51, IGHV4-34, IGLV1-40, IGLC2, IGKV1-5</w:t>
            </w:r>
          </w:p>
        </w:tc>
      </w:tr>
    </w:tbl>
    <w:p>
      <w:pPr>
        <w:jc w:val="both"/>
      </w:pPr>
      <w:r>
        <w:t xml:space="preserve">Доминирующий когерентный фактор транскриптома — </w:t>
      </w:r>
      <w:r>
        <w:rPr>
          <w:b/>
        </w:rPr>
        <w:t>B-клеточная/плазмоклеточная (гуморальная) инфильтрация</w:t>
      </w:r>
      <w:r>
        <w:t>, присутствующая и в опухоли, и в нормальной ткани; именно поэтому λ_max велик в обеих группах. Это же объясняет крупный вклад «IgA-богатого» физиотипа 1 в общую дисперсию.</w:t>
      </w:r>
    </w:p>
    <w:p>
      <w:pPr>
        <w:pStyle w:val="Heading2"/>
      </w:pPr>
      <w:r>
        <w:t>4.3 HSIC: артефакт смеси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Статистика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880"/>
          </w:tcPr>
          <w:p>
            <w:r>
              <w:t>Ткань × SFTPC</w:t>
            </w:r>
          </w:p>
        </w:tc>
        <w:tc>
          <w:tcPr>
            <w:tcW w:type="dxa" w:w="2880"/>
          </w:tcPr>
          <w:p>
            <w:r>
              <w:t>0.00596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</w:tr>
      <w:tr>
        <w:tc>
          <w:tcPr>
            <w:tcW w:type="dxa" w:w="2880"/>
          </w:tcPr>
          <w:p>
            <w:r>
              <w:t>Ткань × BPIFA1</w:t>
            </w:r>
          </w:p>
        </w:tc>
        <w:tc>
          <w:tcPr>
            <w:tcW w:type="dxa" w:w="2880"/>
          </w:tcPr>
          <w:p>
            <w:r>
              <w:t>0.00041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</w:tr>
      <w:tr>
        <w:tc>
          <w:tcPr>
            <w:tcW w:type="dxa" w:w="2880"/>
          </w:tcPr>
          <w:p>
            <w:r>
              <w:t>SFTPC × BPIFA1, внутри Tumor</w:t>
            </w:r>
          </w:p>
        </w:tc>
        <w:tc>
          <w:tcPr>
            <w:tcW w:type="dxa" w:w="2880"/>
          </w:tcPr>
          <w:p>
            <w:r>
              <w:t>0.00065</w:t>
            </w:r>
          </w:p>
        </w:tc>
        <w:tc>
          <w:tcPr>
            <w:tcW w:type="dxa" w:w="2880"/>
          </w:tcPr>
          <w:p>
            <w:r>
              <w:t>0.090</w:t>
            </w:r>
          </w:p>
        </w:tc>
      </w:tr>
      <w:tr>
        <w:tc>
          <w:tcPr>
            <w:tcW w:type="dxa" w:w="2880"/>
          </w:tcPr>
          <w:p>
            <w:r>
              <w:t>SFTPC × BPIFA1, внутри Normal</w:t>
            </w:r>
          </w:p>
        </w:tc>
        <w:tc>
          <w:tcPr>
            <w:tcW w:type="dxa" w:w="2880"/>
          </w:tcPr>
          <w:p>
            <w:r>
              <w:t>0.00267</w:t>
            </w:r>
          </w:p>
        </w:tc>
        <w:tc>
          <w:tcPr>
            <w:tcW w:type="dxa" w:w="2880"/>
          </w:tcPr>
          <w:p>
            <w:r>
              <w:t>0.482</w:t>
            </w:r>
          </w:p>
        </w:tc>
      </w:tr>
    </w:tbl>
    <w:p>
      <w:pPr>
        <w:jc w:val="both"/>
      </w:pPr>
      <w:r>
        <w:t xml:space="preserve">Значимая нелинейная зависимость SFTPC×BPIFA1, обнаруженная в прежнем анализе на всей выборке, </w:t>
      </w:r>
      <w:r>
        <w:rPr>
          <w:b/>
        </w:rPr>
        <w:t>не воспроизводится внутри гомогенных групп</w:t>
      </w:r>
      <w:r>
        <w:t xml:space="preserve"> (p = 0.09 и 0.48). Связь была артефактом двухкомпонентной смеси: у опухолей и нормы различны совместные средние пары генов, что создаёт кажущуюся зависимость при объединении. Это важный методический вывод: при сравнении популяций с разным составом (опухоль/норма, разные клеточные типы) HSIC-тест на объединённой выборке нужно сопровождать внутригрупповой проверкой.</w:t>
      </w:r>
    </w:p>
    <w:p>
      <w:pPr>
        <w:pStyle w:val="Heading2"/>
      </w:pPr>
      <w:r>
        <w:t>4.4 EVT 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хвоста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RL99</w:t>
            </w:r>
          </w:p>
        </w:tc>
      </w:tr>
      <w:tr>
        <w:tc>
          <w:tcPr>
            <w:tcW w:type="dxa" w:w="2160"/>
          </w:tcPr>
          <w:p>
            <w:r>
              <w:t>Tumor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Frechet (тяжёлый)</w:t>
            </w:r>
          </w:p>
        </w:tc>
        <w:tc>
          <w:tcPr>
            <w:tcW w:type="dxa" w:w="2160"/>
          </w:tcPr>
          <w:p>
            <w:r>
              <w:t>18.02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0.261</w:t>
            </w:r>
          </w:p>
        </w:tc>
        <w:tc>
          <w:tcPr>
            <w:tcW w:type="dxa" w:w="2160"/>
          </w:tcPr>
          <w:p>
            <w:r>
              <w:t>Frechet (тяжёлый)</w:t>
            </w:r>
          </w:p>
        </w:tc>
        <w:tc>
          <w:tcPr>
            <w:tcW w:type="dxa" w:w="2160"/>
          </w:tcPr>
          <w:p>
            <w:r>
              <w:t>13.14</w:t>
            </w:r>
          </w:p>
        </w:tc>
      </w:tr>
    </w:tbl>
    <w:p>
      <w:pPr>
        <w:jc w:val="both"/>
      </w:pPr>
      <w:r>
        <w:t xml:space="preserve">Разность RL99 (Tumor − Normal) = </w:t>
      </w:r>
      <w:r>
        <w:rPr>
          <w:b/>
        </w:rPr>
        <w:t>+4.88</w:t>
      </w:r>
      <w:r>
        <w:t xml:space="preserve">, пермутационный p = </w:t>
      </w:r>
      <w:r>
        <w:rPr>
          <w:b/>
        </w:rPr>
        <w:t>0.005</w:t>
      </w:r>
      <w:r>
        <w:t xml:space="preserve"> (в первоначальной версии с битой пермутацией p = 1.0; исправленный протокол пересчитывает GEV в каждой перестановке). Уровень «самого активного гена» значимо выше в опухолях: экстремально гиперэкспрессированные гены — характерная черта опухолевого транскриптома.</w:t>
      </w:r>
    </w:p>
    <w:p>
      <w:pPr>
        <w:pStyle w:val="Heading2"/>
      </w:pPr>
      <w:r>
        <w:t>4.5 Байесовская модель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Модель</w:t>
            </w:r>
          </w:p>
        </w:tc>
        <w:tc>
          <w:tcPr>
            <w:tcW w:type="dxa" w:w="4320"/>
          </w:tcPr>
          <w:p>
            <w:r>
              <w:t>SFTPC ~ tissue + (1</w:t>
            </w:r>
          </w:p>
        </w:tc>
      </w:tr>
      <w:tr>
        <w:tc>
          <w:tcPr>
            <w:tcW w:type="dxa" w:w="4320"/>
          </w:tcPr>
          <w:p>
            <w:r>
              <w:t>Эффект tissue (среднее апостериорное)</w:t>
            </w:r>
          </w:p>
        </w:tc>
        <w:tc>
          <w:tcPr>
            <w:tcW w:type="dxa" w:w="4320"/>
          </w:tcPr>
          <w:p>
            <w:r>
              <w:t>−5.62</w:t>
            </w:r>
          </w:p>
        </w:tc>
      </w:tr>
      <w:tr>
        <w:tc>
          <w:tcPr>
            <w:tcW w:type="dxa" w:w="4320"/>
          </w:tcPr>
          <w:p>
            <w:r>
              <w:t>94% HDI</w:t>
            </w:r>
          </w:p>
        </w:tc>
        <w:tc>
          <w:tcPr>
            <w:tcW w:type="dxa" w:w="4320"/>
          </w:tcPr>
          <w:p>
            <w:r>
              <w:t>[−6.21, −4.95]</w:t>
            </w:r>
          </w:p>
        </w:tc>
      </w:tr>
      <w:tr>
        <w:tc>
          <w:tcPr>
            <w:tcW w:type="dxa" w:w="4320"/>
          </w:tcPr>
          <w:p>
            <w:r>
              <w:t>R̂</w:t>
            </w:r>
          </w:p>
        </w:tc>
        <w:tc>
          <w:tcPr>
            <w:tcW w:type="dxa" w:w="4320"/>
          </w:tcPr>
          <w:p>
            <w:r>
              <w:t>1.002</w:t>
            </w:r>
          </w:p>
        </w:tc>
      </w:tr>
      <w:tr>
        <w:tc>
          <w:tcPr>
            <w:tcW w:type="dxa" w:w="4320"/>
          </w:tcPr>
          <w:p>
            <w:r>
              <w:t>Расходимости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jc w:val="both"/>
      </w:pPr>
      <w:r>
        <w:t>Экспрессия SFTPC в опухолях ниже, чем в норме, на 5.6 единиц log1p TPM (≈ 2⁵·⁶ ≈ 50-кратно) с полной уверенностью по HDI. Направление биологически корректно: SFTPC — маркёр зрелых альвеолярных пневмоцитов II типа, при аденокарциноме его экспрессия подавляется в части опухолей (умеренно дифференцированных) и резко падает при дедифференцировке.</w:t>
      </w:r>
    </w:p>
    <w:p>
      <w:pPr>
        <w:pStyle w:val="Heading2"/>
      </w:pPr>
      <w:r>
        <w:t>4.6 Физиотипы и связь с тканью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Физиотип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Tumor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Tumor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99%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81%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70%</w:t>
            </w:r>
          </w:p>
        </w:tc>
      </w:tr>
    </w:tbl>
    <w:p>
      <w:pPr>
        <w:jc w:val="both"/>
      </w:pPr>
      <w:r>
        <w:t xml:space="preserve">χ² = 79.97, </w:t>
      </w:r>
      <w:r>
        <w:rPr>
          <w:b/>
        </w:rPr>
        <w:t>p = 4.3·10⁻¹⁸</w:t>
      </w:r>
      <w:r>
        <w:t>. Физиотип 1 практически полностью опухолевый (99%), физиотип 3 обогащён нормальной тканью (30% при доле нормы в выборке 9.8%).</w:t>
      </w:r>
    </w:p>
    <w:p>
      <w:pPr>
        <w:pStyle w:val="Heading2"/>
      </w:pPr>
      <w:r>
        <w:t>4.7 PC1-сплит против реальной биологии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Ткань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PC1+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PC1−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Tumor</w:t>
            </w:r>
          </w:p>
        </w:tc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301</w:t>
            </w:r>
          </w:p>
        </w:tc>
      </w:tr>
    </w:tbl>
    <w:p>
      <w:pPr>
        <w:jc w:val="both"/>
      </w:pPr>
      <w:r>
        <w:t xml:space="preserve">Согласие PC1-сплита со статусом ткани — </w:t>
      </w:r>
      <w:r>
        <w:rPr>
          <w:b/>
        </w:rPr>
        <w:t>40%</w:t>
      </w:r>
      <w:r>
        <w:t>: все нормальные образцы попадают в PC1+, но опухоли разделяются почти пополам. Главная ось транскриптомной изменчивости в этой выборке не является осью «опухоль/норма»; она отражает внутриопухолевый градиент (наиболее вероятно — состав и дифференцировку опухоли, сурфактантную/альвеолярную программу). Поэтому выводы прежнего анализа относились к градиенту внутри опухолей, а не к различию опухоль/норма; настоящий анализ закрывает этот пробел.</w:t>
      </w:r>
    </w:p>
    <w:p>
      <w:pPr>
        <w:pStyle w:val="Heading2"/>
      </w:pPr>
      <w:r>
        <w:t>4.8 Эффект размера и устойчивость к выбору генов</w:t>
      </w:r>
    </w:p>
    <w:p>
      <w:pPr>
        <w:jc w:val="both"/>
      </w:pPr>
      <w:r>
        <w:t xml:space="preserve">Практический смысл d_topo = 0.600: после нормировки обеих групп на общий диаметр нормированные кривые компонент связности опухоли и нормы разделены по шкале t примерно на 60% диапазона (рис. 2) — различается именно </w:t>
      </w:r>
      <w:r>
        <w:rPr>
          <w:i/>
        </w:rPr>
        <w:t>структура связности</w:t>
      </w:r>
      <w:r>
        <w:t xml:space="preserve"> облака, а не только его центр. Для сравнения: тот же показатель на PC1-градиенте внутри опухолей равен 0.027 (в 22 раза меньше).</w:t>
      </w:r>
    </w:p>
    <w:p>
      <w:pPr>
        <w:jc w:val="both"/>
      </w:pPr>
      <w:r>
        <w:rPr>
          <w:b/>
        </w:rPr>
        <w:t>Количественная интерпретация величины эффекта.</w:t>
      </w:r>
      <w:r>
        <w:t xml:space="preserve"> Метрика нормирована на [0, 1]: d̄_topo = 1 достигается при полностью непересекающихся нормированных β̄₀-кривых (одна группа связна на всём диапазоне t, другая — разъединена), d̄_topo = 0 — при идентичных кривых. Наблюдаемые 0.600 составляют </w:t>
      </w:r>
      <w:r>
        <w:rPr>
          <w:b/>
        </w:rPr>
        <w:t>60% теоретического максимума</w:t>
      </w:r>
      <w:r>
        <w:t>, т.е. по стандартной градации (как у d′/Cohen для доли дистанции) эффект классифицируется как «большой». Для калибровки полезны три контрольные точки той же шкалы: внутриопухолевый градиент (PC1-сплит) — 0.027 (малый), неинформативные гены минимальной дисперсии — 0.000 (нулевой, p = 1.0) и случайный набор из 500 генов — 0.417 (средний–большой). Таким образом, 0.600 попадает в диапазон, который воспроизводимо достигается только при смене типа распределения целиком (опухоль vs норма), и отделён от шумового уровня почти в 22 раза.</w:t>
      </w:r>
    </w:p>
    <w:p>
      <w:pPr>
        <w:jc w:val="both"/>
      </w:pPr>
      <w:r>
        <w:t>Устойчивость к выбору генов (не артефакт HVG):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Подмножество генов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d_topo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880"/>
          </w:tcPr>
          <w:p>
            <w:r>
              <w:t>500 HVG</w:t>
            </w:r>
          </w:p>
        </w:tc>
        <w:tc>
          <w:tcPr>
            <w:tcW w:type="dxa" w:w="2880"/>
          </w:tcPr>
          <w:p>
            <w:r>
              <w:t>0.600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</w:tr>
      <w:tr>
        <w:tc>
          <w:tcPr>
            <w:tcW w:type="dxa" w:w="2880"/>
          </w:tcPr>
          <w:p>
            <w:r>
              <w:t>500 случайных (из 60 660)</w:t>
            </w:r>
          </w:p>
        </w:tc>
        <w:tc>
          <w:tcPr>
            <w:tcW w:type="dxa" w:w="2880"/>
          </w:tcPr>
          <w:p>
            <w:r>
              <w:t>0.417</w:t>
            </w:r>
          </w:p>
        </w:tc>
        <w:tc>
          <w:tcPr>
            <w:tcW w:type="dxa" w:w="2880"/>
          </w:tcPr>
          <w:p>
            <w:r>
              <w:t>&lt; 0.005</w:t>
            </w:r>
          </w:p>
        </w:tc>
      </w:tr>
      <w:tr>
        <w:tc>
          <w:tcPr>
            <w:tcW w:type="dxa" w:w="2880"/>
          </w:tcPr>
          <w:p>
            <w:r>
              <w:t>500 низковариабельных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>
      <w:pPr>
        <w:jc w:val="both"/>
      </w:pPr>
      <w:r>
        <w:t>Полная TPM-матрица (complete-case по ген-идам ENSG, все 601 файла) содержит 60 660 генов — из неё и производится выборка 500 случайных генов; соединение по именам генов для основного конвейера и матрица counts для DESeq2 дают 59 427 генов. Оба числа корректны и относятся к разным построениям из одних и тех же исходных файлов GDC.</w:t>
      </w:r>
    </w:p>
    <w:p>
      <w:pPr>
        <w:jc w:val="both"/>
      </w:pPr>
      <w:r>
        <w:t>Случайный набор из 500 генов сохраняет ~70% сигнала (различие опухоль/норма пронизывает весь транскриптом); сигнал исчезает только на неинформативных генах минимальной дисперсии. Концентрация сигнала в HVG отражает информационную насыщенность, а не ошибку отбора.</w:t>
      </w:r>
    </w:p>
    <w:p>
      <w:pPr>
        <w:pStyle w:val="Heading2"/>
      </w:pPr>
      <w:r>
        <w:t>4.9 Прямое сравнение с DESeq2</w:t>
      </w:r>
    </w:p>
    <w:p>
      <w:pPr>
        <w:jc w:val="both"/>
      </w:pPr>
      <w:r>
        <w:t xml:space="preserve">Для контроля корректности постановки «опухоль против нормы» выполнено прямое сравнение с эталонным дифференциальным анализом DESeq2 (negative binomial GLM, pydeseq2; контраст Tumor/Normal, коррекция Бенджамини–Хохберга; детали — в сопутствующей биологической статье). DESeq2 выделяет </w:t>
      </w:r>
      <w:r>
        <w:rPr>
          <w:b/>
        </w:rPr>
        <w:t>14 769 генов с |log2FC| &gt; 1 при padj &lt; 0.05</w:t>
      </w:r>
      <w:r>
        <w:t xml:space="preserve"> (11 485 повышены, 3 284 снижены; всего значимых 27 254); направления типичны для LUAD: вверх FAM83A, PYCR1, AFAP1-AS1 (пролиферация/инвазия), вниз PECAM1, EPAS1, OTUD1 (нормальные эндотелиальные и альвеолярные маркёры). То есть классический сигнал различия средних в этих данных выражен и количественно согласуется с гигантской топологической дивергенцией d̄_topo = 0.600 (рис. 9).</w:t>
      </w:r>
    </w:p>
    <w:p>
      <w:pPr>
        <w:jc w:val="both"/>
      </w:pPr>
      <w:r>
        <w:t xml:space="preserve">Однако между линейным DE-анализом и эвристиками отбора генов, на которых построен конвейер, связи почти нет. По полной матрице (59 427 генов, z-стандартизация, разреженное SVD): первая главная компонента объясняет 14.15% дисперсии, но корреляция её нагрузок с log2FC из DESeq2 составляет лишь </w:t>
      </w:r>
      <w:r>
        <w:rPr>
          <w:b/>
        </w:rPr>
        <w:t>r = 0.12 по модулю</w:t>
      </w:r>
      <w:r>
        <w:t xml:space="preserve"> (знак PC1 произволен: ось определена с точностью до знака); пересечение топ-500 HVG с топ-500 генов по padj — </w:t>
      </w:r>
      <w:r>
        <w:rPr>
          <w:b/>
        </w:rPr>
        <w:t>Jaccard = 0.06</w:t>
      </w:r>
      <w:r>
        <w:t xml:space="preserve">; пересечения HVG/PC1-loadings и DESeq2/PC1-loadings — </w:t>
      </w:r>
      <w:r>
        <w:rPr>
          <w:b/>
        </w:rPr>
        <w:t>0.00</w:t>
      </w:r>
      <w:r>
        <w:t>. Это ожидаемо: отбор по дисперсии, главная ось ковариации и дифференциальная экспрессия отвечают на разные вопросы. DESeq2 оценивает сдвиг среднего отдельного гена, тогда как d̄_topo оценивает различие всей формы распределений (структуры связности) в 500-мерном пространстве.</w:t>
      </w:r>
    </w:p>
    <w:p>
      <w:pPr>
        <w:jc w:val="both"/>
      </w:pPr>
      <w:r>
        <w:t>Два следствия важны для методологии. Во-первых, вывод о сильной топологической дивергенции не зависит от выбора «дифференциальных» генов: сигнал сохраняется на 500 случайных генах (0.417) и исчезает лишь на неинформативных (п. 4.8), а критерий HVG почти не пересекается с DE-списками (Jaccard 0.06) — если бы конвейер опирался на DE-гены, результат был бы уже чувствителен к этому выбору. Во-вторых, ортогональность PC1 к DE (r = 0.12 по модулю, Jaccard 0.00) подтверждает п. 4.7: главная ось транскриптомной изменчивости — внутриопухолевый градиент, а не ось «опухоль/норма», поэтому любой анализ, редуцирующий данные до PC1, потерял бы большую часть биологического сигнала, который улавливается именно нелинейной топологической метрикой.</w:t>
      </w:r>
    </w:p>
    <w:p>
      <w:pPr>
        <w:pStyle w:val="Heading2"/>
      </w:pPr>
      <w:r>
        <w:t>4.10 Клиническая привязка (стадии)</w:t>
      </w:r>
    </w:p>
    <w:p>
      <w:pPr>
        <w:jc w:val="both"/>
      </w:pPr>
      <w:r>
        <w:t xml:space="preserve">Там, где доступны стадии (Xena, 591/601 образцов): физиотипы по Вассерштейну </w:t>
      </w:r>
      <w:r>
        <w:rPr>
          <w:b/>
        </w:rPr>
        <w:t>независимы от стадии</w:t>
      </w:r>
      <w:r>
        <w:t xml:space="preserve"> (I/II vs III/IV: χ² = 0.56, p = 0.76; все стадии: χ² = 8.38, p = 0.40) — они описывают внутреннюю биологию, а не прогрессию. Напротив, PC1-градиент слабо, но значимо связан со стадией (опухоли: PC1+ 176 ранних/61 поздних против PC1− 247/49; χ² = 6.23, </w:t>
      </w:r>
      <w:r>
        <w:rPr>
          <w:b/>
        </w:rPr>
        <w:t>p = 0.013</w:t>
      </w:r>
      <w:r>
        <w:t>): менее дифференцированная сурфактантная ось обогащена стадиями III/IV.</w:t>
      </w:r>
    </w:p>
    <w:p>
      <w:pPr>
        <w:pStyle w:val="Heading1"/>
      </w:pPr>
      <w:r>
        <w:t>5. Обсуждение</w:t>
      </w:r>
    </w:p>
    <w:p>
      <w:pPr>
        <w:jc w:val="both"/>
      </w:pPr>
      <w:r>
        <w:rPr>
          <w:b/>
        </w:rPr>
        <w:t>Переносимость и чувствительность конвейера.</w:t>
      </w:r>
      <w:r>
        <w:t xml:space="preserve"> Ключевой результат — конвейер topo-stress полностью переносится на реальную биологическую постановку и даёт многократно более сильный сигнал: d̄_topo = 0.600 против 0.027 на бесконтрольном сплите. Топологическая дивергенция оказалась чувствительной именно к смене распределения целиком (опухоль против нормы), а не к сдвигу внутри единого распределения.</w:t>
      </w:r>
    </w:p>
    <w:p>
      <w:pPr>
        <w:jc w:val="both"/>
      </w:pPr>
      <w:r>
        <w:rPr>
          <w:b/>
        </w:rPr>
        <w:t>Важность метаданных.</w:t>
      </w:r>
      <w:r>
        <w:t xml:space="preserve"> Без sample sheet GDC анализ был бы ограничен PC1-сплитом; получение case_id/тип ткани изменило постановку. Дублирование пациентов (83 случая, из них 58 пар) и батч-пластин (26 пластин, эффект в PC3–PC5) — обязательные к учёту факторы.</w:t>
      </w:r>
    </w:p>
    <w:p>
      <w:pPr>
        <w:jc w:val="both"/>
      </w:pPr>
      <w:r>
        <w:rPr>
          <w:b/>
        </w:rPr>
        <w:t>Урок для HSIC-методологии.</w:t>
      </w:r>
      <w:r>
        <w:t xml:space="preserve"> Смешивание разнородных подгрупп с разными совместными средними создаёт ложные нелинейные зависимости. Это не дефект HSIC как такового, но требование к протоколу: проверка зависимости должна выполняться внутри страт, а не только на объединении.</w:t>
      </w:r>
    </w:p>
    <w:p>
      <w:pPr>
        <w:jc w:val="both"/>
      </w:pPr>
      <w:r>
        <w:rPr>
          <w:b/>
        </w:rPr>
        <w:t>Методические уроки по сэмплингу.</w:t>
      </w:r>
      <w:r>
        <w:t xml:space="preserve"> Первая байесовская спецификация (пластина как фиксированный эффект, 26 уровней) привела к 97 расходимостей NUTS; переход к случайным эффектам пластины и пациента и target_accept = 0.999 устранил их (0 расходимостей, R̂ = 1.002). Это воспроизводит урок из анализа MAST: случайные эффекты и усиленные настройки критичны для сходимости.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Перестановочные p ограничены разрешением 0.005 (199 пермутаций).</w:t>
      </w:r>
    </w:p>
    <w:p>
      <w:pPr>
        <w:pStyle w:val="ListBullet"/>
      </w:pPr>
      <w:r>
        <w:t>Группа нормы мала (n = 59) и q = p/n &gt; 1 для RMT: спектр нормы вырожден, интерпретация границы Марченко–Пастура ограничена.</w:t>
      </w:r>
    </w:p>
    <w:p>
      <w:pPr>
        <w:pStyle w:val="ListBullet"/>
      </w:pPr>
      <w:r>
        <w:t>Норма — парная ткань из тех же пациентов, что и опухоли (58 из 59): внутригрупповые тесты не полностью независимы; байесовская модель учитывает это случайным эффектом пациента, остальные тесты — нет.</w:t>
      </w:r>
    </w:p>
    <w:p>
      <w:pPr>
        <w:pStyle w:val="ListBullet"/>
      </w:pPr>
      <w:r>
        <w:t>Отбор 500 HVG по дисперсии усиливает дифференцировочные гены и влияет на все метрики; отдельная проверка на полном транскриптоме не выполнялась.</w:t>
      </w:r>
    </w:p>
    <w:p>
      <w:pPr>
        <w:pStyle w:val="ListBullet"/>
      </w:pPr>
      <w:r>
        <w:t>Оценки фиксированных эффектов пластины/пациента имеют ESS &lt; 100 у части случайных эффектов; ключевой параметр (tissue) сходится надёжно (R̂ = 1.002).</w:t>
      </w:r>
    </w:p>
    <w:p>
      <w:pPr>
        <w:pStyle w:val="Heading1"/>
      </w:pPr>
      <w:r>
        <w:t>7. Выводы</w:t>
      </w:r>
    </w:p>
    <w:p>
      <w:pPr>
        <w:pStyle w:val="ListNumber"/>
      </w:pPr>
      <w:r>
        <w:t>Реальная биологическая группа (Tumor vs Normal) в TCGA-LUAD даёт топологическую дивергенцию d̄_topo = 0.600 (p &lt; 0.005) — в 22 раза больше, чем бесконтрольный PC1-сплит.</w:t>
      </w:r>
    </w:p>
    <w:p>
      <w:pPr>
        <w:pStyle w:val="ListNumber"/>
      </w:pPr>
      <w:r>
        <w:t>Структура ковариации нетривиальна в обеих группах: λ_max/λ₊ = 22.7 (опухоли) и 5.6 (норма).</w:t>
      </w:r>
    </w:p>
    <w:p>
      <w:pPr>
        <w:pStyle w:val="ListNumber"/>
      </w:pPr>
      <w:r>
        <w:t>HSIC-сигнал SFTPC×BPIFA1 из прежнего анализа — артефакт смеси тканей; внутри групп зависимости нет.</w:t>
      </w:r>
    </w:p>
    <w:p>
      <w:pPr>
        <w:pStyle w:val="ListNumber"/>
      </w:pPr>
      <w:r>
        <w:t>Уровни возврата максимумов экспрессии значимо выше у опухолей (RL99 18.02 против 13.14, p = 0.005), хвосты типа Фреше в обеих группах.</w:t>
      </w:r>
    </w:p>
    <w:p>
      <w:pPr>
        <w:pStyle w:val="ListNumber"/>
      </w:pPr>
      <w:r>
        <w:t>Байесовский эффект ткани на SFTPC = −5.62 [−6.21, −4.95], R̂ = 1.002, 0 расходимостей при учёте matched-дизайна и пластины.</w:t>
      </w:r>
    </w:p>
    <w:p>
      <w:pPr>
        <w:pStyle w:val="ListNumber"/>
      </w:pPr>
      <w:r>
        <w:t>PC1-сплит не отражает статус ткани (согласие 40%); прежние выводы относились к внутриопухолевому градиенту.</w:t>
      </w:r>
    </w:p>
    <w:p>
      <w:pPr>
        <w:pStyle w:val="ListNumber"/>
      </w:pPr>
      <w:r>
        <w:t>Физиотипы по Вассерштейну ассоциированы с тканью (χ² = 79.97, p = 4.3·10⁻¹⁸); их биологическая интерпретация дана в сопутствующей статье.</w:t>
      </w:r>
    </w:p>
    <w:p>
      <w:pPr>
        <w:pStyle w:val="Heading1"/>
      </w:pPr>
      <w:r>
        <w:t>Таблицы и рисунки</w:t>
      </w:r>
    </w:p>
    <w:p>
      <w:r>
        <w:t>Рис. 1 (figures/gdc_batch_pca.png) — PCA: батч-эффекты (ткань и пластина).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_batch_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 (figures/gdc2_tda.png) — кривые Бетти-0: Tumor vs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t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3 (figures/gdc2_rmt.png) — спектры RMT по группам.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rm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4 (figures/gdc2_hsic.png) — SFTPC × BPIFA1 по ткани.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hs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5 (figures/gdc2_evt.png) — GEV-подгонки по группам.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ev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6 (figures/gdc2_bayesian.png) — апостериорное распределение эффекта ткани.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bayesi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7 (figures/gdc2_info_geometry.png) — физиотипы и ткань в MDS.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info_geo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8 (figures/gdc2_lmax.png) — топ-15 генов λ_max-модуля по группам (иммуноглобулиновый).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lma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9 (figures/gdc2_cmp_deseq2.png) — DESeq2 log2FC против PC1-loadings (r = 0.12).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7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cmp_deseq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Воспроизводимость</w:t>
      </w:r>
    </w:p>
    <w:p>
      <w:pPr>
        <w:jc w:val="both"/>
      </w:pPr>
      <w:r>
        <w:t>```</w:t>
      </w:r>
    </w:p>
    <w:p>
      <w:pPr>
        <w:jc w:val="both"/>
      </w:pPr>
      <w:r>
        <w:t>python scripts\fetch_gdc_metadata.py   # aliquot-метаданные (plate, центр)</w:t>
      </w:r>
    </w:p>
    <w:p>
      <w:pPr>
        <w:jc w:val="both"/>
      </w:pPr>
      <w:r>
        <w:t>python scripts\gdc_batch_check.py      # батч-эффекты PCA</w:t>
      </w:r>
    </w:p>
    <w:p>
      <w:pPr>
        <w:jc w:val="both"/>
      </w:pPr>
      <w:r>
        <w:t>python scripts\run_gdc_realgroups.py   # TDA, RMT, HSIC, EVT, Bayesian, InfoGeometry</w:t>
      </w:r>
    </w:p>
    <w:p>
      <w:pPr>
        <w:jc w:val="both"/>
      </w:pPr>
      <w:r>
        <w:t>python scripts\gdc2_fix_bayes_evt.py   # корректная пермутация RL99 + Bayesian 0 div</w:t>
      </w:r>
    </w:p>
    <w:p>
      <w:pPr>
        <w:jc w:val="both"/>
      </w:pPr>
      <w:r>
        <w:t>python scripts\gdc2_robustness.py      # устойчивость d_topo + λ_max модуль</w:t>
      </w:r>
    </w:p>
    <w:p>
      <w:pPr>
        <w:jc w:val="both"/>
      </w:pPr>
      <w:r>
        <w:t>python scripts\gdc2_clinical.py        # стадии (Xena) + присоединение клиники</w:t>
      </w:r>
    </w:p>
    <w:p>
      <w:pPr>
        <w:jc w:val="both"/>
      </w:pPr>
      <w:r>
        <w:t>python scripts\gdc2_cmp_deseq2.py      # сравнение с DESeq2 (results/gdc2_cmp_deseq2.json)</w:t>
      </w:r>
    </w:p>
    <w:p>
      <w:pPr>
        <w:jc w:val="both"/>
      </w:pPr>
      <w:r>
        <w:t>python scripts\gdc2_figures_bw.py      # ч/б-стили рис. 2, 4, 5 (Betti, EVT, HSIC)</w:t>
      </w:r>
    </w:p>
    <w:p>
      <w:pPr>
        <w:jc w:val="both"/>
      </w:pPr>
      <w:r>
        <w:t>```</w:t>
      </w:r>
    </w:p>
    <w:p>
      <w:pPr>
        <w:jc w:val="both"/>
      </w:pPr>
      <w:r>
        <w:t>Промежуточные данные: `data/gdc/gdc_sample_sheet.tsv`, `data/processed/gdc_metadata.csv`, `data/processed/gdc2_labels.csv`; результаты — `results/gdc2_</w:t>
      </w:r>
      <w:r>
        <w:rPr>
          <w:i/>
        </w:rPr>
        <w:t>.json`; рисунки — `figures/gdc2_</w:t>
      </w:r>
      <w:r>
        <w:t>.png` (многосерийные графики различают серии стилем линии/маркером и читабельны в ч/б). Репозиторий: `https://github.com/mordvinov-arch/topo-stress`.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