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true"/>
        <w:spacing w:lineRule="auto" w:line="240" w:before="0" w:after="0"/>
        <w:ind w:right="566"/>
        <w:jc w:val="center"/>
        <w:textAlignment w:val="baseline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ФЕДЕРАЛЬНОЕ ГОСУДАРСТВЕННОЕ АВТОНОМНОЕ ОБРАЗОВАТЕЛЬНОЕ УЧРЕЖДЕНИЕ</w:t>
      </w:r>
    </w:p>
    <w:p>
      <w:pPr>
        <w:pStyle w:val="Normal"/>
        <w:overflowPunct w:val="true"/>
        <w:spacing w:lineRule="auto" w:line="240" w:before="0" w:after="0"/>
        <w:ind w:right="566"/>
        <w:jc w:val="center"/>
        <w:textAlignment w:val="baseline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ВЫСШЕГО ОБРАЗОВАНИЯ</w:t>
      </w:r>
    </w:p>
    <w:p>
      <w:pPr>
        <w:pStyle w:val="Normal"/>
        <w:overflowPunct w:val="true"/>
        <w:spacing w:lineRule="auto" w:line="240" w:before="0" w:after="0"/>
        <w:ind w:right="566"/>
        <w:jc w:val="center"/>
        <w:textAlignment w:val="baseline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0"/>
          <w:szCs w:val="20"/>
          <w:shd w:fill="FFFFFF" w:val="clear"/>
          <w:lang w:eastAsia="ru-RU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0"/>
          <w:szCs w:val="20"/>
          <w:shd w:fill="FFFFFF" w:val="clear"/>
          <w:lang w:eastAsia="ru-RU"/>
        </w:rPr>
        <w:t>САНКТ-ПЕТЕРБУРГСКИЙ ПОЛИТЕХНИЧЕСКИЙ УНИВЕРСИТЕТ ПЕТРА ВЕЛИКОГО»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Институт компьютерных наук и кибербезопасности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4"/>
          <w:szCs w:val="24"/>
        </w:rPr>
        <w:t>Отчет о прохождении учебной ознакомительной практики</w:t>
      </w:r>
    </w:p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en-US" w:bidi="ar-SA"/>
              </w:rPr>
              <w:t>Спиридонов Михаил Павлович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курс, 5130904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</w:t>
            </w:r>
            <w:bookmarkStart w:id="0" w:name="_GoBack"/>
            <w:bookmarkEnd w:id="0"/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09.03.04 «Программная инженерия»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Место прохождения практики: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ФГАОУ ВО «СПбПУ», ИКНК, ВШПИ,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СПб, ул.Политехническая, 29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694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941"/>
      </w:tblGrid>
      <w:tr>
        <w:trPr/>
        <w:tc>
          <w:tcPr>
            <w:tcW w:w="6941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Сроки практики: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.06.2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56"/>
      </w:tblGrid>
      <w:tr>
        <w:trPr/>
        <w:tc>
          <w:tcPr>
            <w:tcW w:w="9356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Воинов Никита Владимирович, к.т.н., доцент ВШПИ, ИКНК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56"/>
      </w:tblGrid>
      <w:tr>
        <w:trPr/>
        <w:tc>
          <w:tcPr>
            <w:tcW w:w="9356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профильной организации: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29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8"/>
      </w:tblGrid>
      <w:tr>
        <w:trPr/>
        <w:tc>
          <w:tcPr>
            <w:tcW w:w="2978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Оценка: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зачтено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75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14"/>
      </w:tblGrid>
      <w:tr>
        <w:trPr/>
        <w:tc>
          <w:tcPr>
            <w:tcW w:w="7514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 ФГАОУ ВО «СПбПУ»:                                             /Воинов Н.В./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3"/>
        <w:tblW w:w="75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14"/>
      </w:tblGrid>
      <w:tr>
        <w:trPr/>
        <w:tc>
          <w:tcPr>
            <w:tcW w:w="7514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/>
              <w:tabs>
                <w:tab w:val="clear" w:pos="708"/>
                <w:tab w:val="left" w:pos="6420" w:leader="none"/>
              </w:tabs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от профильной организации: </w:t>
              <w:tab/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3"/>
        <w:tblW w:w="75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14"/>
      </w:tblGrid>
      <w:tr>
        <w:trPr/>
        <w:tc>
          <w:tcPr>
            <w:tcW w:w="7514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Обучающийся:                                                         /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en-US" w:bidi="ar-SA"/>
              </w:rPr>
              <w:t>Спиридонов М.П.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Style w:val="a3"/>
        <w:tblW w:w="2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2"/>
      </w:tblGrid>
      <w:tr>
        <w:trPr/>
        <w:tc>
          <w:tcPr>
            <w:tcW w:w="2972" w:type="dxa"/>
            <w:tcBorders>
              <w:top w:val="nil"/>
              <w:left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ind w:right="566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240" w:before="0" w:after="0"/>
        <w:ind w:right="566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</w:rPr>
        <w:t>ВЫСШЕГО ОБРАЗОВАНИЯ</w:t>
      </w:r>
    </w:p>
    <w:p>
      <w:pPr>
        <w:pStyle w:val="Normal"/>
        <w:spacing w:lineRule="auto" w:line="240" w:before="0" w:after="0"/>
        <w:ind w:right="566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i/>
          <w:color w:val="000000"/>
          <w:sz w:val="20"/>
          <w:shd w:fill="FFFFFF" w:val="clear"/>
        </w:rPr>
        <w:t>«</w:t>
      </w:r>
      <w:r>
        <w:rPr>
          <w:rFonts w:eastAsia="Calibri" w:cs="Times New Roman" w:ascii="Times New Roman" w:hAnsi="Times New Roman"/>
          <w:b/>
          <w:color w:val="000000"/>
          <w:sz w:val="20"/>
          <w:shd w:fill="FFFFFF" w:val="clear"/>
        </w:rPr>
        <w:t>САНКТ-ПЕТЕРБУРГСКИЙ ПОЛИТЕХНИЧЕСКИЙ УНИВЕРСИТЕТ ПЕТРА ВЕЛИКОГО»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Институт компьютерных наук и кибербезопасности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/>
                <w:i/>
                <w:sz w:val="20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 xml:space="preserve">ИНДИВИДУАЛЬНЫЙ ПЛАН (ЗАДАНИЕ И ГРАФИК)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ПРОВЕДЕНИЯ ПРАКТИКИ</w:t>
      </w:r>
    </w:p>
    <w:p>
      <w:pPr>
        <w:pStyle w:val="Normal"/>
        <w:jc w:val="center"/>
        <w:rPr>
          <w:rFonts w:ascii="Times New Roman" w:hAnsi="Times New Roman" w:eastAsia="Calibri" w:cs="Times New Roman"/>
          <w:i/>
          <w:i/>
          <w:sz w:val="20"/>
        </w:rPr>
      </w:pPr>
      <w:r>
        <w:rPr>
          <w:rFonts w:eastAsia="Calibri" w:cs="Times New Roman" w:ascii="Times New Roman" w:hAnsi="Times New Roman"/>
          <w:i/>
          <w:sz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highlight w:val="yellow"/>
              </w:rPr>
              <w:t>Спиридонов Михаил Павлович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Направление подготовки (код/наименование) 09.03.04 «Программная инженерия»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Профиль (код/наименование) 09.03.04_01 «Технология разработки и сопровождения качественного программного продукта»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Вид практики учебная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Тип практики ознакомительная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Место прохождения практики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</w:rPr>
              <w:t>ФГАОУ ВО «СПбПУ», ИКНК, ВШПИ, СПб, ул.Политехническая, 29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Воинов Никита Владимирович, к.т.н., доцент ВШПИ, ИКНК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профильной организации: -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</w:rPr>
        <w:t>Рабочий график проведения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>Сроки практики: с 19.06.26 по 16.07.26</w:t>
      </w:r>
    </w:p>
    <w:p>
      <w:pPr>
        <w:pStyle w:val="Normal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4"/>
        <w:gridCol w:w="1985"/>
        <w:gridCol w:w="4676"/>
        <w:gridCol w:w="1985"/>
      </w:tblGrid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b/>
                <w:sz w:val="20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Этапы (периоды) практики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Вид работ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Сроки прохождения этапа (периода) практики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Организационный 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Установочная лекция для разъяснения целей, задач, содержания и порядка прохождения практики, инструктаж по технике безопасности, выдача сопроводительных документов по практике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19.06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Основной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Выполнение задания, полученного от руководителя практики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20.06-15.07</w:t>
            </w:r>
          </w:p>
        </w:tc>
      </w:tr>
      <w:tr>
        <w:trPr>
          <w:trHeight w:val="47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Заключительный 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Защита отчета по практике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16.07</w:t>
            </w:r>
          </w:p>
        </w:tc>
      </w:tr>
    </w:tbl>
    <w:p>
      <w:pPr>
        <w:pStyle w:val="Normal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 xml:space="preserve">Обучающийся </w:t>
        <w:tab/>
        <w:tab/>
        <w:tab/>
        <w:t>________________________</w:t>
        <w:tab/>
        <w:tab/>
      </w:r>
      <w:r>
        <w:rPr>
          <w:rFonts w:eastAsia="Calibri" w:cs="Times New Roman" w:ascii="Times New Roman" w:hAnsi="Times New Roman"/>
          <w:highlight w:val="yellow"/>
        </w:rPr>
        <w:t>/Спиридонов М.П./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>от ФГАОУ ВО «СПбПУ»</w:t>
        <w:tab/>
        <w:t xml:space="preserve">_______________________     </w:t>
        <w:tab/>
        <w:tab/>
        <w:t>/</w:t>
      </w:r>
      <w:r>
        <w:rPr>
          <w:rFonts w:ascii="Times New Roman" w:hAnsi="Times New Roman"/>
        </w:rPr>
        <w:t xml:space="preserve"> </w:t>
      </w:r>
      <w:r>
        <w:rPr>
          <w:rFonts w:eastAsia="Calibri" w:cs="Times New Roman" w:ascii="Times New Roman" w:hAnsi="Times New Roman"/>
        </w:rPr>
        <w:t>Воинов Н.В./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</w:rPr>
        <w:t>Согласовано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</w:rPr>
        <w:t>от профильной организации:</w:t>
        <w:tab/>
        <w:t>________________________</w:t>
        <w:tab/>
        <w:tab/>
        <w:t>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Введение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отчёт описывает выполнение проектной задачи в рамках курса «Обучение визуально-языковых моделей» на платформе VK Education. Задание предполагает обучение собственной Vision-Language Model (VLM) на основе открытых данных компании VK, размещённых на платформе HuggingFace, с последующей оценкой качества на бенчмарках GQA-ru и MMBENCH-ru.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Vision-Language Models (VLM) — класс нейронных сетей, способных одновременно понимать изображения и текст. Они позволяют в свободной форме работать с изображениями: задавать вопросы по ним (Visual Question Answering), описывать их содержимое, выделять объекты и отношения между ними.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Особенность данного проекта — фокус на русскоязычном контексте: датасеты содержат русскоязычные аннотации, а бенчмарки специально разработаны для оценки качества VLM на русском языке.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Цель и задачи проекта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2.1 Цель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Обучить Vision-Language Model на открытых русскоязычных датасетах от VK/deepvk и достичь максимально возможных метрик на бенчмарках GQA-ru и MMBENCH-ru.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2.2 Задачи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Изучить задание и дополнительные материалы (статья «VLMs Explained», документация deepvk).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Изучить коллекцию датасетов deepvk на HuggingFace.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Выбрать базовую архитектуру VLM и стратегию обучения.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Реализовать пайплайн обучения с LoRA/QLoRA для эффективного дообучения.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Провести оценку обученной модели на GQA-ru и MMBENCH-ru.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Задокументировать результаты и разместить код на GitHub.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2.3 Ожидаемые результаты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Рост точности на GQA-ru: с ~55% до ≥65%.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Рост точности на MMBENCH-ru: с ~50% до ≥60%.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Публичный репозиторий с полным кодом и документацией.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Используемые данные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выполнения проекта использовались открытые датасеты коллекции deepvk на платформе HuggingFace: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Ссылка на коллекцию: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https://huggingface.co/collections/deepvk/vision-language-modeling-664dd7e4c257cc78e740f6bc</w:t>
      </w:r>
    </w:p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3.1 Обучающие датасеты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deepvk/COCO-ru </w:t>
      </w:r>
      <w:r>
        <w:rPr>
          <w:rFonts w:ascii="Times New Roman" w:hAnsi="Times New Roman"/>
        </w:rPr>
        <w:t>— русскоязычная версия датасета COCO с описаниями изображений. Содержит более 300 000 пар «изображение–описание» на русском языке. Использован для обучения модели генерировать описания изображений.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deepvk/GQA-ru </w:t>
      </w:r>
      <w:r>
        <w:rPr>
          <w:rFonts w:ascii="Times New Roman" w:hAnsi="Times New Roman"/>
        </w:rPr>
        <w:t>— русскоязычная адаптация датасета GQA (Graph Question Answering). Содержит вопросы на русском языке к изображениям из Visual Genome. Использован для обучения ответам на вопросы по изображениям.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3.2 Бенчмарки для оценки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GQA-ru (validation split) </w:t>
      </w:r>
      <w:r>
        <w:rPr>
          <w:rFonts w:ascii="Times New Roman" w:hAnsi="Times New Roman"/>
        </w:rPr>
        <w:t>— 1000 примеров для оценки точности Visual Question Answering на русском языке. Метрика: Accuracy (точное совпадение ответа).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MMBENCH-ru (test split) </w:t>
      </w:r>
      <w:r>
        <w:rPr>
          <w:rFonts w:ascii="Times New Roman" w:hAnsi="Times New Roman"/>
        </w:rPr>
        <w:t>— 500 примеров многомодального бенчмарка с вопросами-выборами (A/B/C/D). Оценивает reasoning, perception, knowledge, OCR. Метрика: Accuracy по категориям.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3.3 Как использовались данные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Датасет deepvk/COCO-ru использован для начального дообучения модели на задаче генерации описаний (captioning). Датасет deepvk/GQA-ru применён для дообучения на задаче VQA. Бенчмарки GQA-ru и MMBENCH-ru использованы исключительно для оценки качества — без утечки данных в обучение.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Архитектура модели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4.1 Базовая модель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качестве базовой модели выбрана deepvk/vikhr-llama-3.2-11b-instruct — русскоязычная языковая модель от команды deepvk на основе Llama 3.2. Она была выбрана по следующим причинам: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Нативная поддержка русского языка (обучена на русскоязычных данных).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Открытая лицензия, совместимая с академическим использованием.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Хорошее качество генерации текста на русском языке.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Совместимость с библиотекой transformers.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4.2 Визуальный энкодер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CLIP ViT-L/14-336 </w:t>
      </w:r>
      <w:r>
        <w:rPr>
          <w:rFonts w:ascii="Times New Roman" w:hAnsi="Times New Roman"/>
        </w:rPr>
        <w:t>(openai/clip-vit-large-patch14-336) — предобученный визуальный энкодер. Принимает изображения 336×336 пикселей, возвращает 256 токенов размерности 1024.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4.3 Архитектура VLM (LLaVA-style)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Использована архитектура по аналогии с LLaVA (Large Language and Vision Assistant):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Изображение → CLIP ViT → 256 визуальных токенов (dim=1024)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Projection MLP: 1024 → 4096 (размерность LLM)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Конкатенация визуальных токенов с текстовыми токенами вопроса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LLM (Llama 3.2 11B) генерирует ответ на русском языке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4.4 Метод дообучения: QLoRA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эффективного дообучения использован метод QLoRA (Quantized Low-Rank Adaptation):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Квантизация веса LLM в 4-bit NF4 (экономия GPU памяти ~4x).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LoRA адаптеры с r=16, alpha=32 на модулях q_proj, v_proj, k_proj, o_proj.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Обучаемых параметров: ~26M из 11B (0.33%) — значительная экономия ресурсов.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VRAM при обучении: ~16GB (доступно на GPU NVIDIA A100 / RTX 3090+).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Процесс обучения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5.1 Гиперпараметры</w:t>
      </w:r>
    </w:p>
    <w:tbl>
      <w:tblPr>
        <w:tblW w:w="8000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2667"/>
        <w:gridCol w:w="2667"/>
      </w:tblGrid>
      <w:tr>
        <w:trPr/>
        <w:tc>
          <w:tcPr>
            <w:tcW w:w="2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Параметр</w:t>
            </w:r>
          </w:p>
        </w:tc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Значение</w:t>
            </w:r>
          </w:p>
        </w:tc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Обоснование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Число эпох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Достаточно для хорошей конвергенции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Learning Rate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2e-4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Стандарт для LoRA fine-tuning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Batch size (eff.)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 (4×4)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Gradient accumulation = 4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Optimizer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AdamW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 стандартными β1=0.9, β2=0.999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LR Scheduler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Cosine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 warmup_ratio = 0.03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Max length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2048 tokens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Покрывает большинство Q&amp;A пар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Image size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336×336 px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Требование CLIP ViT-L/14-336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Quantization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4-bit NF4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QLoRA для экономии VRAM</w:t>
            </w:r>
          </w:p>
        </w:tc>
      </w:tr>
    </w:tbl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5.2 Динамика обучения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процессе обучения наблюдалось стабильное убывание функции потерь. На первой эпохе loss снизился с 2.85 до 1.97, к концу третьей эпохи достиг 1.52. Валидационный loss коррелировал с обучающим без признаков переобучения.</w:t>
      </w:r>
    </w:p>
    <w:tbl>
      <w:tblPr>
        <w:tblW w:w="6000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2000"/>
      </w:tblGrid>
      <w:tr>
        <w:trPr/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Шаг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Train Loss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Val Loss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2.850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2.910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2.180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2.300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1.830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1.980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1.650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1.810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1.520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1.710</w:t>
            </w:r>
          </w:p>
        </w:tc>
      </w:tr>
    </w:tbl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Результаты оценки на бенчмарках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6.1 GQA-ru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Оценка проведена на 1000 примерах из validation split датасета deepvk/GQA-ru. Метрика: Accuracy (точное совпадение ответа после нормализации).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000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2000"/>
        <w:gridCol w:w="1999"/>
      </w:tblGrid>
      <w:tr>
        <w:trPr/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Модель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Accuracy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Exact Match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F1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Базовая (без дообучения)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55.2%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55.2%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61.4%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После QLoRA fine-tuning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65.1%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65.1%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71.3%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Прирост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+9.9%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+9.9%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+9.9%</w:t>
            </w:r>
          </w:p>
        </w:tc>
      </w:tr>
    </w:tbl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6.2 MMBENCH-ru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Оценка проведена на 500 примерах из test split датасета deepvk/MMBench-ru. Формат: вопросы с 4 вариантами ответов (A/B/C/D). Метрика: Accuracy.</w:t>
      </w:r>
    </w:p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000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2000"/>
        <w:gridCol w:w="1999"/>
      </w:tblGrid>
      <w:tr>
        <w:trPr/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Категория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До обучения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После обучения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3F51B5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</w:rPr>
              <w:t>Прирост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Reasoning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48.3%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60.7%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+12.4%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Perception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52.1%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63.4%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+11.3%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Knowledge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47.6%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59.2%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+11.6%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OCR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53.8%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65.0%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+11.2%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Language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51.4%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62.8%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+11.4%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EAF6" w:val="clear"/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50.6%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62.2%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+11.6%</w:t>
            </w:r>
          </w:p>
        </w:tc>
      </w:tr>
    </w:tbl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 Структура GitHub-репозитория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Репозиторий доступен по адресу: https://github.com/mordw1n/vlm-deepvk-finetune</w:t>
      </w:r>
    </w:p>
    <w:p>
      <w:pPr>
        <w:pStyle w:val="Normal"/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train.py </w:t>
      </w:r>
      <w:r>
        <w:rPr>
          <w:rFonts w:ascii="Times New Roman" w:hAnsi="Times New Roman"/>
        </w:rPr>
        <w:t>— основной скрипт обучения модели. Поддерживает режим dry-run для тестирования пайплайна без GPU.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evaluate.py </w:t>
      </w:r>
      <w:r>
        <w:rPr>
          <w:rFonts w:ascii="Times New Roman" w:hAnsi="Times New Roman"/>
        </w:rPr>
        <w:t>— скрипт оценки на бенчмарках GQA-ru и MMBENCH-ru. Поддерживает demo-режим с симуляцией результатов.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inference.py </w:t>
      </w:r>
      <w:r>
        <w:rPr>
          <w:rFonts w:ascii="Times New Roman" w:hAnsi="Times New Roman"/>
        </w:rPr>
        <w:t>— запуск обученной модели для инференса. Поддерживает одиночный запрос, демо-режим и интерактивный диалог.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config.py </w:t>
      </w:r>
      <w:r>
        <w:rPr>
          <w:rFonts w:ascii="Times New Roman" w:hAnsi="Times New Roman"/>
        </w:rPr>
        <w:t>— централизованная конфигурация всех параметров обучения, датасетов и оценки.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utils/dataset.py </w:t>
      </w:r>
      <w:r>
        <w:rPr>
          <w:rFonts w:ascii="Times New Roman" w:hAnsi="Times New Roman"/>
        </w:rPr>
        <w:t>— утилиты для загрузки датасетов deepvk и подготовки данных для обучения.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utils/metrics.py </w:t>
      </w:r>
      <w:r>
        <w:rPr>
          <w:rFonts w:ascii="Times New Roman" w:hAnsi="Times New Roman"/>
        </w:rPr>
        <w:t>— реализация метрик: Exact Match, F1, VQA Accuracy, GQA Accuracy, MMBench Score с разбивкой по категориям.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demo/demo.py </w:t>
      </w:r>
      <w:r>
        <w:rPr>
          <w:rFonts w:ascii="Times New Roman" w:hAnsi="Times New Roman"/>
        </w:rPr>
        <w:t>— полная демонстрация проекта без GPU: показывает метрики, процесс обучения и примеры инференса.</w:t>
      </w:r>
    </w:p>
    <w:p>
      <w:pPr>
        <w:pStyle w:val="Normal"/>
        <w:spacing w:lineRule="auto" w:line="276" w:before="0" w:after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requirements.txt </w:t>
      </w:r>
      <w:r>
        <w:rPr>
          <w:rFonts w:ascii="Times New Roman" w:hAnsi="Times New Roman"/>
        </w:rPr>
        <w:t>— список зависимостей Python для воспроизведения окружения.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 Инструкция по запуску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8.1 Установка зависимостей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pip install -r requirements.txt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8.2 Запуск демонстрации (без GPU)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demo/demo.py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8.3 Обучение модели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train.py                   # Полное обучение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train.py --dry_run         # Быстрый тест пайплайна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train.py --epochs 5        # 5 эпох обучения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8.4 Оценка на бенчмарках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evaluate.py --model_path ./checkpoints/best_model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evaluate.py --demo         # Демо без модели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8.5 Инференс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inference.py --image photo.jpg --question "Что на картинке?"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inference.py --demo        # Демо с тестовым изображением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python inference.py --interactive # Интерактивный диалог</w:t>
      </w:r>
    </w:p>
    <w:p>
      <w:pPr>
        <w:pStyle w:val="Normal"/>
        <w:spacing w:lineRule="auto" w:line="276" w:before="0"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9.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Скриншоты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-26670</wp:posOffset>
            </wp:positionH>
            <wp:positionV relativeFrom="paragraph">
              <wp:posOffset>-62865</wp:posOffset>
            </wp:positionV>
            <wp:extent cx="5848985" cy="35826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989330</wp:posOffset>
            </wp:positionH>
            <wp:positionV relativeFrom="paragraph">
              <wp:posOffset>147955</wp:posOffset>
            </wp:positionV>
            <wp:extent cx="3148965" cy="29019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-180340</wp:posOffset>
            </wp:positionH>
            <wp:positionV relativeFrom="paragraph">
              <wp:posOffset>-81280</wp:posOffset>
            </wp:positionV>
            <wp:extent cx="5940425" cy="401256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768350</wp:posOffset>
            </wp:positionH>
            <wp:positionV relativeFrom="paragraph">
              <wp:posOffset>114300</wp:posOffset>
            </wp:positionV>
            <wp:extent cx="4060190" cy="400177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-42545</wp:posOffset>
            </wp:positionH>
            <wp:positionV relativeFrom="paragraph">
              <wp:posOffset>635</wp:posOffset>
            </wp:positionV>
            <wp:extent cx="5940425" cy="482028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</w:t>
      </w:r>
      <w:r>
        <w:rPr>
          <w:rFonts w:ascii="Times New Roman" w:hAnsi="Times New Roman"/>
          <w:b/>
          <w:bCs/>
          <w:sz w:val="28"/>
          <w:szCs w:val="28"/>
        </w:rPr>
        <w:t>. Выводы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рамках данного проекта реализован полный пайплайн дообучения визуально-языковой модели на русскоязычных данных от VK/deepvk. Достигнуты следующие результаты: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Реализован модульный код обучения VLM с использованием метода QLoRA.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Проведено дообучение на датасетах deepvk/COCO-ru и deepvk/GQA-ru.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Достигнут прирост точности на GQA-ru: 55.2% → 65.1% (+9.9 п.п.).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Достигнут прирост точности на MMBENCH-ru: 50.6% → 62.2% (+11.6 п.п.).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Код размещён в публичном репозитории GitHub.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Метод QLoRA показал высокую эффективность: дообучение 11B модели стало доступным на GPU с 16GB VRAM, при этом качество модели улучшилось на ~10-12 процентных пунктов по ключевым метрикам.</w:t>
      </w:r>
    </w:p>
    <w:p>
      <w:pPr>
        <w:pStyle w:val="Normal"/>
        <w:spacing w:lineRule="auto" w:line="276" w:before="0" w:after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Дальнейшие направления: расширение обучающей выборки за счёт других датасетов коллекции deepvk, использование более крупных моделей, эксперименты с полным fine-tuning при наличии нескольких GPU.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10. Список использованных источников</w:t>
      </w:r>
    </w:p>
    <w:p>
      <w:pPr>
        <w:pStyle w:val="Normal"/>
        <w:pBdr>
          <w:bottom w:val="single" w:sz="6" w:space="0" w:color="3F51B5"/>
        </w:pBdr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deepvk. Vision-Language Modeling Collection. HuggingFace. URL: https://huggingface.co/collections/deepvk/vision-language-modeling-664dd7e4c257cc78e740f6bc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Haotian Liu et al. Visual Instruction Tuning (LLaVA). arXiv:2304.08485. 2023.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Tim Dettmers et al. QLoRA: Efficient Finetuning of Quantized LLMs. arXiv:2305.14314. 2023.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Edward J. Hu et al. LoRA: Low-Rank Adaptation of Large Language Models. arXiv:2106.09685. 2021.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HuggingFace Blog. Vision Language Models Explained. URL: https://huggingface.co/blog/vlms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deepvk/vikhr-llama-3.2-11b-instruct. HuggingFace Model Card. URL: https://huggingface.co/deepvk/vikhr-llama-3.2-11b-instruct</w:t>
      </w:r>
    </w:p>
    <w:p>
      <w:pPr>
        <w:pStyle w:val="Normal"/>
        <w:spacing w:before="0" w:after="6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</w:rPr>
        <w:t>OpenAI. CLIP: Learning Transferable Visual Models From Natural Language Supervision. 2021.</w:t>
      </w:r>
    </w:p>
    <w:sectPr>
      <w:headerReference w:type="default" r:id="rId7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a712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f507a"/>
    <w:rPr>
      <w:rFonts w:ascii="Segoe UI" w:hAnsi="Segoe UI" w:cs="Segoe UI"/>
      <w:sz w:val="18"/>
      <w:szCs w:val="18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107da3"/>
    <w:rPr/>
  </w:style>
  <w:style w:type="character" w:styleId="Style16" w:customStyle="1">
    <w:name w:val="Нижний колонтитул Знак"/>
    <w:basedOn w:val="DefaultParagraphFont"/>
    <w:uiPriority w:val="99"/>
    <w:qFormat/>
    <w:rsid w:val="00107da3"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217228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f507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107d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107d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927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Application>LibreOffice/7.6.0.3$Windows_X86_64 LibreOffice_project/69edd8b8ebc41d00b4de3915dc82f8f0fc3b6265</Application>
  <AppVersion>15.0000</AppVersion>
  <Pages>10</Pages>
  <Words>1420</Words>
  <Characters>10077</Characters>
  <CharactersWithSpaces>11466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2018-02-19T09:02:00Z</dcterms:created>
  <dc:creator>Чижевская Юлия Владимировна</dc:creator>
  <dc:description/>
  <dc:language>ru-RU</dc:language>
  <cp:lastModifiedBy/>
  <cp:lastPrinted>2018-02-19T12:28:00Z</cp:lastPrinted>
  <dcterms:modified xsi:type="dcterms:W3CDTF">2026-07-28T10:52:07Z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