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Система формирования документов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67______________________________________________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413111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Энгельс, пр-т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.11,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34, 89271480804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2222 № 333341 выдан отделом уфмс росии по саратовской области в городе Энгельсе Дата выдачи: 12.01.2022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23.05.2024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67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Система формирования документов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Российская Федерация, 413111,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пр-т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.34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