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56______________________________________________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10, 89271880894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2222 № 234563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23.05.2024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56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.10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