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0" w:name="patch"/>
    <w:p>
      <w:pPr>
        <w:pStyle w:val="berschrift3"/>
      </w:pPr>
      <w:r>
        <w:t xml:space="preserve">2026-08-31 (PATCH)</w:t>
      </w:r>
    </w:p>
    <w:p>
      <w:pPr>
        <w:pStyle w:val="Compact"/>
        <w:numPr>
          <w:ilvl w:val="0"/>
          <w:numId w:val="1001"/>
        </w:numPr>
      </w:pPr>
      <w:r>
        <w:t xml:space="preserve">Updated</w:t>
      </w:r>
      <w:r>
        <w:t xml:space="preserve"> </w:t>
      </w:r>
      <w:r>
        <w:t xml:space="preserve">‘Applies to’</w:t>
      </w:r>
      <w:r>
        <w:t xml:space="preserve"> </w:t>
      </w:r>
      <w:r>
        <w:t xml:space="preserve">statement</w:t>
      </w:r>
    </w:p>
    <w:p>
      <w:pPr>
        <w:pStyle w:val="FirstParagraph"/>
      </w:pPr>
      <w:r>
        <w:rPr>
          <w:b/>
          <w:bCs/>
        </w:rPr>
        <w:t xml:space="preserve">Justification:</w:t>
      </w:r>
      <w:r>
        <w:t xml:space="preserve"> </w:t>
      </w:r>
      <w:r>
        <w:t xml:space="preserve">Minor editorial update</w:t>
      </w:r>
    </w:p>
    <w:p>
      <w:pPr>
        <w:pStyle w:val="Textkrper"/>
      </w:pPr>
      <w:r>
        <w:rPr>
          <w:b/>
          <w:bCs/>
        </w:rPr>
        <w:t xml:space="preserve">Editor:</w:t>
      </w:r>
      <w:r>
        <w:t xml:space="preserve"> </w:t>
      </w:r>
      <w:r>
        <w:t xml:space="preserve">Harvey Jones</w:t>
      </w:r>
    </w:p>
    <w:bookmarkEnd w:id="30"/>
    <w:bookmarkStart w:id="31" w:name="patch-1"/>
    <w:p>
      <w:pPr>
        <w:pStyle w:val="berschrift3"/>
      </w:pPr>
      <w:r>
        <w:t xml:space="preserve">2026-03-26 (PATCH)</w:t>
      </w:r>
    </w:p>
    <w:p>
      <w:pPr>
        <w:pStyle w:val="Compact"/>
        <w:numPr>
          <w:ilvl w:val="0"/>
          <w:numId w:val="1002"/>
        </w:numPr>
      </w:pPr>
      <w:r>
        <w:t xml:space="preserve">Renamed CARD4L to CEOS-ARD</w:t>
      </w:r>
    </w:p>
    <w:p>
      <w:pPr>
        <w:pStyle w:val="Compact"/>
        <w:numPr>
          <w:ilvl w:val="0"/>
          <w:numId w:val="1002"/>
        </w:numPr>
      </w:pPr>
      <w:r>
        <w:t xml:space="preserve">Restructured the document; removed empty or unused parts</w:t>
      </w:r>
    </w:p>
    <w:p>
      <w:pPr>
        <w:pStyle w:val="Compact"/>
        <w:numPr>
          <w:ilvl w:val="0"/>
          <w:numId w:val="1002"/>
        </w:numPr>
      </w:pPr>
      <w:r>
        <w:t xml:space="preserve">Document history has been reset. Check the previous versions for details</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2"/>
        </w:numPr>
      </w:pPr>
      <w:r>
        <w:t xml:space="preserve">If no threshold requirement applies, the wording has been made consistent (e.g. former req. 1.7 and 1.8).</w:t>
      </w:r>
    </w:p>
    <w:p>
      <w:pPr>
        <w:pStyle w:val="Compact"/>
        <w:numPr>
          <w:ilvl w:val="0"/>
          <w:numId w:val="1002"/>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3"/>
        </w:numPr>
      </w:pPr>
      <w:r>
        <w:t xml:space="preserve">Brian Killough, NASA Langley Research Center, CEOS Systems Engineering Office, USA</w:t>
      </w:r>
    </w:p>
    <w:p>
      <w:pPr>
        <w:pStyle w:val="Compact"/>
        <w:numPr>
          <w:ilvl w:val="0"/>
          <w:numId w:val="1003"/>
        </w:numPr>
      </w:pPr>
      <w:r>
        <w:t xml:space="preserve">Bhaskar Ramachandran, NASA Goddard Space Flight Center, USA</w:t>
      </w:r>
    </w:p>
    <w:p>
      <w:pPr>
        <w:pStyle w:val="Compact"/>
        <w:numPr>
          <w:ilvl w:val="0"/>
          <w:numId w:val="1003"/>
        </w:numPr>
      </w:pPr>
      <w:r>
        <w:t xml:space="preserve">Miguel Román, Leidos Inc., Civil Group, USA</w:t>
      </w:r>
    </w:p>
    <w:p>
      <w:pPr>
        <w:pStyle w:val="Compact"/>
        <w:numPr>
          <w:ilvl w:val="0"/>
          <w:numId w:val="1003"/>
        </w:numPr>
      </w:pPr>
      <w:r>
        <w:t xml:space="preserve">Zhuosen Wang, University of Maryland/GSFC, USA</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with nighttime light sensors operating in the VIS/NIR wavelengths. These typically operate with ground sample distance and resolution in the order of 10-1000m; 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4"/>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4"/>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9"/>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1"/>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2"/>
        </w:numPr>
      </w:pPr>
      <w:r>
        <w:t xml:space="preserve">It is possible that high-quality corrections are applied through non-disclosed processes. CEOS-ARD does not per-se require full and open data and methods.</w:t>
      </w:r>
    </w:p>
    <w:p>
      <w:pPr>
        <w:pStyle w:val="Compact"/>
        <w:numPr>
          <w:ilvl w:val="0"/>
          <w:numId w:val="1022"/>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4"/>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7"/>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99"/>
    <w:bookmarkEnd w:id="100"/>
    <w:bookmarkStart w:id="104"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9"/>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3"/>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w:t>
      </w:r>
      <w:r>
        <w:t xml:space="preserve"> </w:t>
      </w:r>
      <w:hyperlink w:anchor="sec:rac-strali">
        <w:r>
          <w:rPr>
            <w:rStyle w:val="Hyperlink"/>
          </w:rPr>
          <w:t xml:space="preserve">Radiometric and Atmospheric Corrections: Stray Light Corrections</w:t>
        </w:r>
      </w:hyperlink>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7"/>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w:t>
      </w:r>
      <w:r>
        <w:t xml:space="preserve"> </w:t>
      </w:r>
      <w:hyperlink w:anchor="sec:meta-trace-sr">
        <w:r>
          <w:rPr>
            <w:rStyle w:val="Hyperlink"/>
          </w:rPr>
          <w:t xml:space="preserve">General Metadata: Traceability</w:t>
        </w:r>
      </w:hyperlink>
      <w:r>
        <w:t xml:space="preserve">).</w:t>
      </w:r>
    </w:p>
    <w:bookmarkEnd w:id="168"/>
    <w:bookmarkStart w:id="169" w:name="assessment-32"/>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9"/>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9"/>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1"/>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p>
      <w:pPr>
        <w:pStyle w:val="Compact"/>
        <w:numPr>
          <w:ilvl w:val="0"/>
          <w:numId w:val="1053"/>
        </w:numPr>
      </w:pPr>
      <w:r>
        <w:t xml:space="preserve">the sources of ancillary data used to make corrections</w:t>
      </w:r>
    </w:p>
    <w:p>
      <w:pPr>
        <w:pStyle w:val="FirstParagraph"/>
      </w:pPr>
      <w:r>
        <w:t xml:space="preserve">Note:</w:t>
      </w:r>
    </w:p>
    <w:p>
      <w:pPr>
        <w:pStyle w:val="Compact"/>
        <w:numPr>
          <w:ilvl w:val="0"/>
          <w:numId w:val="1054"/>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the lunar model used.</w:t>
      </w:r>
    </w:p>
    <w:p>
      <w:pPr>
        <w:pStyle w:val="FirstParagraph"/>
      </w:pPr>
      <w:r>
        <w:t xml:space="preserve">Note:</w:t>
      </w:r>
    </w:p>
    <w:p>
      <w:pPr>
        <w:pStyle w:val="Compact"/>
        <w:numPr>
          <w:ilvl w:val="0"/>
          <w:numId w:val="1057"/>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9"/>
        </w:numPr>
      </w:pPr>
      <w:r>
        <w:t xml:space="preserve">a citable peer-reviewed algorithm</w:t>
      </w:r>
    </w:p>
    <w:p>
      <w:pPr>
        <w:pStyle w:val="Compact"/>
        <w:numPr>
          <w:ilvl w:val="0"/>
          <w:numId w:val="1059"/>
        </w:numPr>
      </w:pPr>
      <w:r>
        <w:t xml:space="preserve">technical documentation regarding the implementation of that algorithm and any models used.</w:t>
      </w:r>
    </w:p>
    <w:p>
      <w:pPr>
        <w:pStyle w:val="FirstParagraph"/>
      </w:pPr>
      <w:r>
        <w:t xml:space="preserve">Note:</w:t>
      </w:r>
    </w:p>
    <w:p>
      <w:pPr>
        <w:pStyle w:val="Compact"/>
        <w:numPr>
          <w:ilvl w:val="0"/>
          <w:numId w:val="1060"/>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3"/>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5"/>
        </w:numPr>
      </w:pPr>
      <w:r>
        <w:t xml:space="preserve">that product has been assessed as meeting CEOS-ARD requirements by the agency responsible for production and distribution of the product, and</w:t>
      </w:r>
    </w:p>
    <w:p>
      <w:pPr>
        <w:pStyle w:val="Compact"/>
        <w:numPr>
          <w:ilvl w:val="0"/>
          <w:numId w:val="106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2026-09-28T09:36:05Z</dcterms:created>
  <dcterms:modified xsi:type="dcterms:W3CDTF">2026-09-28T09:36:05Z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