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9.png" ContentType="image/png"/>
  <Override PartName="/word/media/rId305.png" ContentType="image/png"/>
  <Override PartName="/word/media/rId313.png" ContentType="image/png"/>
  <Override PartName="/word/media/rId325.png" ContentType="image/png"/>
  <Override PartName="/word/media/rId317.png" ContentType="image/png"/>
  <Override PartName="/word/media/rId3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1"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60"/>
    <w:bookmarkEnd w:id="161"/>
    <w:bookmarkEnd w:id="162"/>
    <w:bookmarkStart w:id="20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All files are provided using cloud-optimized file formats.</w:t>
      </w:r>
    </w:p>
    <w:bookmarkEnd w:id="164"/>
    <w:bookmarkStart w:id="165"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7"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7"/>
    <w:bookmarkStart w:id="168"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8"/>
    <w:bookmarkStart w:id="169"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9"/>
    <w:bookmarkEnd w:id="170"/>
    <w:bookmarkStart w:id="174"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1"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71"/>
    <w:bookmarkStart w:id="172"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72"/>
    <w:bookmarkStart w:id="173"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3"/>
    <w:bookmarkEnd w:id="174"/>
    <w:bookmarkStart w:id="178"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6"/>
    <w:bookmarkStart w:id="177"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9"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9"/>
    <w:bookmarkStart w:id="180" w:name="goal-requirements-34"/>
    <w:p>
      <w:pPr>
        <w:pStyle w:val="berschrift5"/>
      </w:pPr>
      <w:r>
        <w:t xml:space="preserve">Goal requirements:</w:t>
      </w:r>
    </w:p>
    <w:p>
      <w:pPr>
        <w:pStyle w:val="FirstParagraph"/>
      </w:pPr>
      <w:r>
        <w:t xml:space="preserve">As threshold.</w:t>
      </w:r>
      <w:r>
        <w:t xml:space="preserve"> </w:t>
      </w:r>
    </w:p>
    <w:bookmarkEnd w:id="180"/>
    <w:bookmarkStart w:id="181"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4"/>
    <w:bookmarkStart w:id="185"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5"/>
    <w:bookmarkEnd w:id="186"/>
    <w:bookmarkStart w:id="190"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7" w:name="threshold-requirements-36"/>
    <w:p>
      <w:pPr>
        <w:pStyle w:val="berschrift5"/>
      </w:pPr>
      <w:r>
        <w:t xml:space="preserve">Threshold requirements:</w:t>
      </w:r>
    </w:p>
    <w:p>
      <w:pPr>
        <w:pStyle w:val="FirstParagraph"/>
      </w:pPr>
      <w:r>
        <w:t xml:space="preserve">Not required.</w:t>
      </w:r>
      <w:r>
        <w:t xml:space="preserve"> </w:t>
      </w:r>
    </w:p>
    <w:bookmarkEnd w:id="187"/>
    <w:bookmarkStart w:id="188"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1"/>
    <w:bookmarkStart w:id="192" w:name="goal-requirements-37"/>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3"/>
    <w:bookmarkEnd w:id="194"/>
    <w:bookmarkStart w:id="198"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6"/>
    <w:bookmarkStart w:id="197"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7"/>
    <w:bookmarkEnd w:id="198"/>
    <w:bookmarkStart w:id="202"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9" w:name="threshold-requirements-39"/>
    <w:p>
      <w:pPr>
        <w:pStyle w:val="berschrift5"/>
      </w:pPr>
      <w:r>
        <w:t xml:space="preserve">Threshold requirements:</w:t>
      </w:r>
    </w:p>
    <w:p>
      <w:pPr>
        <w:pStyle w:val="FirstParagraph"/>
      </w:pPr>
      <w:r>
        <w:t xml:space="preserve">Not required.</w:t>
      </w:r>
      <w:r>
        <w:t xml:space="preserve"> </w:t>
      </w:r>
    </w:p>
    <w:bookmarkEnd w:id="199"/>
    <w:bookmarkStart w:id="200"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0"/>
    <w:bookmarkStart w:id="201"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201"/>
    <w:bookmarkEnd w:id="202"/>
    <w:bookmarkEnd w:id="203"/>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7"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4" w:name="threshold-requirements-40"/>
    <w:p>
      <w:pPr>
        <w:pStyle w:val="berschrift5"/>
      </w:pPr>
      <w:r>
        <w:t xml:space="preserve">Threshold requirements:</w:t>
      </w:r>
    </w:p>
    <w:p>
      <w:pPr>
        <w:pStyle w:val="FirstParagraph"/>
      </w:pPr>
      <w:r>
        <w:t xml:space="preserve">Not required.</w:t>
      </w:r>
      <w:r>
        <w:t xml:space="preserve"> </w:t>
      </w:r>
    </w:p>
    <w:bookmarkEnd w:id="204"/>
    <w:bookmarkStart w:id="205" w:name="goal-requirements-40"/>
    <w:p>
      <w:pPr>
        <w:pStyle w:val="berschrift5"/>
      </w:pPr>
      <w:r>
        <w:t xml:space="preserve">Goal requirements:</w:t>
      </w:r>
    </w:p>
    <w:p>
      <w:pPr>
        <w:pStyle w:val="FirstParagraph"/>
      </w:pPr>
      <w:r>
        <w:t xml:space="preserve">All files are provided using cloud-optimized file formats.</w:t>
      </w:r>
    </w:p>
    <w:bookmarkEnd w:id="205"/>
    <w:bookmarkStart w:id="206"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6"/>
    <w:bookmarkEnd w:id="207"/>
    <w:bookmarkStart w:id="211"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8"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8"/>
    <w:bookmarkStart w:id="209"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9"/>
    <w:bookmarkStart w:id="210"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2"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2"/>
    <w:bookmarkStart w:id="213" w:name="goal-requirements-42"/>
    <w:p>
      <w:pPr>
        <w:pStyle w:val="berschrift5"/>
      </w:pPr>
      <w:r>
        <w:t xml:space="preserve">Goal requirements:</w:t>
      </w:r>
    </w:p>
    <w:p>
      <w:pPr>
        <w:pStyle w:val="FirstParagraph"/>
      </w:pPr>
      <w:r>
        <w:t xml:space="preserve">As threshold, but use of float32.</w:t>
      </w:r>
    </w:p>
    <w:bookmarkEnd w:id="213"/>
    <w:bookmarkStart w:id="214"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4"/>
    <w:bookmarkEnd w:id="215"/>
    <w:bookmarkStart w:id="219"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6"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6"/>
    <w:bookmarkStart w:id="217" w:name="goal-requirements-43"/>
    <w:p>
      <w:pPr>
        <w:pStyle w:val="berschrift5"/>
      </w:pPr>
      <w:r>
        <w:t xml:space="preserve">Goal requirements:</w:t>
      </w:r>
    </w:p>
    <w:p>
      <w:pPr>
        <w:pStyle w:val="FirstParagraph"/>
      </w:pPr>
      <w:r>
        <w:t xml:space="preserve">As threshold.</w:t>
      </w:r>
      <w:r>
        <w:t xml:space="preserve"> </w:t>
      </w:r>
    </w:p>
    <w:bookmarkEnd w:id="217"/>
    <w:bookmarkStart w:id="218"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4"/>
    <w:p>
      <w:pPr>
        <w:pStyle w:val="berschrift5"/>
      </w:pPr>
      <w:r>
        <w:t xml:space="preserve">Threshold requirements:</w:t>
      </w:r>
    </w:p>
    <w:p>
      <w:pPr>
        <w:pStyle w:val="FirstParagraph"/>
      </w:pPr>
      <w:r>
        <w:t xml:space="preserve">Not required.</w:t>
      </w:r>
      <w:r>
        <w:t xml:space="preserve"> </w:t>
      </w:r>
    </w:p>
    <w:bookmarkEnd w:id="220"/>
    <w:bookmarkStart w:id="221"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5"/>
    <w:bookmarkStart w:id="226"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6"/>
    <w:p>
      <w:pPr>
        <w:pStyle w:val="berschrift5"/>
      </w:pPr>
      <w:r>
        <w:t xml:space="preserve">Threshold requirements:</w:t>
      </w:r>
    </w:p>
    <w:p>
      <w:pPr>
        <w:pStyle w:val="FirstParagraph"/>
      </w:pPr>
      <w:r>
        <w:t xml:space="preserve">Not required.</w:t>
      </w:r>
      <w:r>
        <w:t xml:space="preserve"> </w:t>
      </w:r>
    </w:p>
    <w:bookmarkEnd w:id="229"/>
    <w:bookmarkStart w:id="230"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30"/>
    <w:bookmarkStart w:id="231"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3"/>
    <w:bookmarkStart w:id="234"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4"/>
    <w:bookmarkStart w:id="235"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49"/>
    <w:p>
      <w:pPr>
        <w:pStyle w:val="berschrift5"/>
      </w:pPr>
      <w:r>
        <w:t xml:space="preserve">Threshold requirements:</w:t>
      </w:r>
    </w:p>
    <w:p>
      <w:pPr>
        <w:pStyle w:val="FirstParagraph"/>
      </w:pPr>
      <w:r>
        <w:t xml:space="preserve">Not required.</w:t>
      </w:r>
      <w:r>
        <w:t xml:space="preserve"> </w:t>
      </w:r>
    </w:p>
    <w:bookmarkEnd w:id="241"/>
    <w:bookmarkStart w:id="242"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5"/>
    <w:bookmarkStart w:id="246"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83" w:name="references"/>
    <w:p>
      <w:pPr>
        <w:pStyle w:val="berschrift2"/>
      </w:pPr>
      <w:r>
        <w:t xml:space="preserve">References</w:t>
      </w:r>
    </w:p>
    <w:bookmarkStart w:id="282" w:name="refs"/>
    <w:bookmarkStart w:id="26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72">
        <w:r>
          <w:rPr>
            <w:rStyle w:val="Hyperlink"/>
          </w:rPr>
          <w:t xml:space="preserve">https://doi.org/10.1080/07038992.2000.10874781</w:t>
        </w:r>
      </w:hyperlink>
      <w:r>
        <w:t xml:space="preserve">.</w:t>
      </w:r>
    </w:p>
    <w:bookmarkEnd w:id="273"/>
    <w:bookmarkStart w:id="275"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4">
        <w:r>
          <w:rPr>
            <w:rStyle w:val="Hyperlink"/>
          </w:rPr>
          <w:t xml:space="preserve">https://doi.org/10.1109/TGRS.2010.2099124</w:t>
        </w:r>
      </w:hyperlink>
      <w:r>
        <w:t xml:space="preserve">.</w:t>
      </w:r>
    </w:p>
    <w:bookmarkEnd w:id="275"/>
    <w:bookmarkStart w:id="277"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6">
        <w:r>
          <w:rPr>
            <w:rStyle w:val="Hyperlink"/>
          </w:rPr>
          <w:t xml:space="preserve">https://doi.org/10.1029/97JC01911</w:t>
        </w:r>
      </w:hyperlink>
      <w:r>
        <w:t xml:space="preserve">.</w:t>
      </w:r>
    </w:p>
    <w:bookmarkEnd w:id="277"/>
    <w:bookmarkStart w:id="27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8">
        <w:r>
          <w:rPr>
            <w:rStyle w:val="Hyperlink"/>
          </w:rPr>
          <w:t xml:space="preserve">https://doi.org/10.1109/LGRS.2017.2753580</w:t>
        </w:r>
      </w:hyperlink>
      <w:r>
        <w:t xml:space="preserve">.</w:t>
      </w:r>
    </w:p>
    <w:bookmarkEnd w:id="279"/>
    <w:bookmarkStart w:id="28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0">
        <w:r>
          <w:rPr>
            <w:rStyle w:val="Hyperlink"/>
          </w:rPr>
          <w:t xml:space="preserve">https://doi.org/10.1109/TGRS.2010.2051333</w:t>
        </w:r>
      </w:hyperlink>
      <w:r>
        <w:t xml:space="preserve">.</w:t>
      </w:r>
    </w:p>
    <w:bookmarkEnd w:id="281"/>
    <w:bookmarkEnd w:id="282"/>
    <w:p>
      <w:r>
        <w:br w:type="page"/>
      </w:r>
    </w:p>
    <w:bookmarkEnd w:id="283"/>
    <w:bookmarkStart w:id="330" w:name="annexes"/>
    <w:p>
      <w:pPr>
        <w:pStyle w:val="berschrift2"/>
      </w:pPr>
      <w:r>
        <w:t xml:space="preserve">Annexes</w:t>
      </w:r>
    </w:p>
    <w:bookmarkStart w:id="28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4"/>
    <w:bookmarkEnd w:id="285"/>
    <w:bookmarkStart w:id="29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6"/>
    </w:p>
    <w:p>
      <w:pPr>
        <w:pStyle w:val="FirstParagraph"/>
      </w:pPr>
      <w:r>
        <w:t xml:space="preserve">Where</w:t>
      </w:r>
    </w:p>
    <w:p>
      <w:pPr>
        <w:pStyle w:val="Textkrper"/>
      </w:pPr>
      <w:bookmarkStart w:id="28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9"/>
    </w:p>
    <w:p>
      <w:pPr>
        <w:pStyle w:val="FirstParagraph"/>
      </w:pPr>
      <w:bookmarkStart w:id="29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90"/>
    </w:p>
    <w:p>
      <w:pPr>
        <w:pStyle w:val="FirstParagraph"/>
      </w:pPr>
      <w:r>
        <w:t xml:space="preserve">The differential phase is</w:t>
      </w:r>
    </w:p>
    <w:p>
      <w:pPr>
        <w:pStyle w:val="Textkrper"/>
      </w:pPr>
      <w:bookmarkStart w:id="29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2"/>
    </w:p>
    <w:p>
      <w:pPr>
        <w:pStyle w:val="FirstParagraph"/>
      </w:pPr>
      <w:bookmarkStart w:id="29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3"/>
    </w:p>
    <w:p>
      <w:pPr>
        <w:pStyle w:val="FirstParagraph"/>
      </w:pPr>
      <w:bookmarkStart w:id="29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6"/>
    </w:p>
    <w:bookmarkEnd w:id="297"/>
    <w:bookmarkStart w:id="30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9"/>
    </w:p>
    <w:p>
      <w:pPr>
        <w:pStyle w:val="FirstParagraph"/>
      </w:pPr>
      <w:bookmarkStart w:id="30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00"/>
    </w:p>
    <w:p>
      <w:pPr>
        <w:pStyle w:val="FirstParagraph"/>
      </w:pPr>
      <w:bookmarkStart w:id="30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3"/>
    </w:p>
    <w:bookmarkEnd w:id="304"/>
    <w:bookmarkStart w:id="329"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8" w:name="fig:sar-orb-example-fig1a"/>
    <w:p>
      <w:pPr>
        <w:pStyle w:val="CaptionedFigure"/>
      </w:pPr>
      <w:r>
        <w:drawing>
          <wp:inline>
            <wp:extent cx="3810000" cy="2540000"/>
            <wp:effectExtent b="0" l="0" r="0" t="0"/>
            <wp:docPr descr="Figure 1: VV intensity; Processing: A. Rosenqvist (soloEO)" title="" id="306" name="Picture"/>
            <a:graphic>
              <a:graphicData uri="http://schemas.openxmlformats.org/drawingml/2006/picture">
                <pic:pic>
                  <pic:nvPicPr>
                    <pic:cNvPr descr="assets/sar-orb-examples/S1-ORB-VV.png" id="307" name="Picture"/>
                    <pic:cNvPicPr>
                      <a:picLocks noChangeArrowheads="1" noChangeAspect="1"/>
                    </pic:cNvPicPr>
                  </pic:nvPicPr>
                  <pic:blipFill>
                    <a:blip r:embed="rId3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8"/>
    <w:bookmarkStart w:id="312" w:name="fig:sar-orb-example-fig1b"/>
    <w:p>
      <w:pPr>
        <w:pStyle w:val="CaptionedFigure"/>
      </w:pPr>
      <w:r>
        <w:drawing>
          <wp:inline>
            <wp:extent cx="3810000" cy="2540000"/>
            <wp:effectExtent b="0" l="0" r="0" t="0"/>
            <wp:docPr descr="Figure 2: VH intensity; Processing: A. Rosenqvist (soloEO)" title="" id="310" name="Picture"/>
            <a:graphic>
              <a:graphicData uri="http://schemas.openxmlformats.org/drawingml/2006/picture">
                <pic:pic>
                  <pic:nvPicPr>
                    <pic:cNvPr descr="assets/sar-orb-examples/S1-ORB-VH.png" id="311" name="Picture"/>
                    <pic:cNvPicPr>
                      <a:picLocks noChangeArrowheads="1" noChangeAspect="1"/>
                    </pic:cNvPicPr>
                  </pic:nvPicPr>
                  <pic:blipFill>
                    <a:blip r:embed="rId30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12"/>
    <w:bookmarkStart w:id="316" w:name="fig:sar-orb-example-fig1c"/>
    <w:p>
      <w:pPr>
        <w:pStyle w:val="CaptionedFigure"/>
      </w:pPr>
      <w:r>
        <w:drawing>
          <wp:inline>
            <wp:extent cx="3810000" cy="2540000"/>
            <wp:effectExtent b="0" l="0" r="0" t="0"/>
            <wp:docPr descr="Figure 3: Data mask image; Processing: A. Rosenqvist (soloEO)" title="" id="314" name="Picture"/>
            <a:graphic>
              <a:graphicData uri="http://schemas.openxmlformats.org/drawingml/2006/picture">
                <pic:pic>
                  <pic:nvPicPr>
                    <pic:cNvPr descr="assets/sar-orb-examples/S1-ORB-data-mask.png" id="315" name="Picture"/>
                    <pic:cNvPicPr>
                      <a:picLocks noChangeArrowheads="1" noChangeAspect="1"/>
                    </pic:cNvPicPr>
                  </pic:nvPicPr>
                  <pic:blipFill>
                    <a:blip r:embed="rId31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6"/>
    <w:bookmarkStart w:id="320" w:name="fig:sar-orb-example-fig1d"/>
    <w:p>
      <w:pPr>
        <w:pStyle w:val="CaptionedFigure"/>
      </w:pPr>
      <w:r>
        <w:drawing>
          <wp:inline>
            <wp:extent cx="3810000" cy="2540000"/>
            <wp:effectExtent b="0" l="0" r="0" t="0"/>
            <wp:docPr descr="Figure 4: Local incident angle; Processing: A. Rosenqvist (soloEO)" title="" id="318" name="Picture"/>
            <a:graphic>
              <a:graphicData uri="http://schemas.openxmlformats.org/drawingml/2006/picture">
                <pic:pic>
                  <pic:nvPicPr>
                    <pic:cNvPr descr="assets/sar-orb-examples/S1-ORB-local-indicident-angle.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20"/>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4" w:name="fig:sar-orb-example-fig2a"/>
    <w:p>
      <w:pPr>
        <w:pStyle w:val="CaptionedFigure"/>
      </w:pPr>
      <w:r>
        <w:drawing>
          <wp:inline>
            <wp:extent cx="3810000" cy="2540000"/>
            <wp:effectExtent b="0" l="0" r="0" t="0"/>
            <wp:docPr descr="Figure 5: ORB intensity (Sigma-Nought); Processing: G. Hajduch (CLS)" title="" id="322" name="Picture"/>
            <a:graphic>
              <a:graphicData uri="http://schemas.openxmlformats.org/drawingml/2006/picture">
                <pic:pic>
                  <pic:nvPicPr>
                    <pic:cNvPr descr="assets/sar-orb-examples/S1-ORB-sigma-nought.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4"/>
    <w:bookmarkStart w:id="328"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6" name="Picture"/>
            <a:graphic>
              <a:graphicData uri="http://schemas.openxmlformats.org/drawingml/2006/picture">
                <pic:pic>
                  <pic:nvPicPr>
                    <pic:cNvPr descr="assets/sar-orb-examples/S1-ORB-intesity-compensated.png" id="327" name="Picture"/>
                    <pic:cNvPicPr>
                      <a:picLocks noChangeArrowheads="1" noChangeAspect="1"/>
                    </pic:cNvPicPr>
                  </pic:nvPicPr>
                  <pic:blipFill>
                    <a:blip r:embed="rId32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28"/>
    <w:bookmarkEnd w:id="329"/>
    <w:bookmarkEnd w:id="330"/>
    <w:bookmarkEnd w:id="33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9" Target="media/rId309.png" /><Relationship Type="http://schemas.openxmlformats.org/officeDocument/2006/relationships/image" Id="rId305" Target="media/rId305.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2026-05-29T09:05:39Z</dcterms:created>
  <dcterms:modified xsi:type="dcterms:W3CDTF">2026-05-29T09:05:39Z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