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24.jpg" ContentType="image/jpeg"/>
  <Override PartName="/word/media/rId3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30"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9"/>
    <w:bookmarkEnd w:id="160"/>
    <w:bookmarkEnd w:id="161"/>
    <w:bookmarkStart w:id="20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5"/>
    <w:bookmarkStart w:id="176"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7"/>
    <w:bookmarkStart w:id="188"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9"/>
    <w:bookmarkStart w:id="200"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200"/>
    <w:bookmarkEnd w:id="201"/>
    <w:bookmarkEnd w:id="202"/>
    <w:bookmarkStart w:id="23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3" w:name="threshold-requirements-40"/>
    <w:p>
      <w:pPr>
        <w:pStyle w:val="berschrift5"/>
      </w:pPr>
      <w:r>
        <w:t xml:space="preserve">Threshold requirements:</w:t>
      </w:r>
    </w:p>
    <w:p>
      <w:pPr>
        <w:pStyle w:val="FirstParagraph"/>
      </w:pPr>
      <w:r>
        <w:t xml:space="preserve">Not required.</w:t>
      </w:r>
      <w:r>
        <w:t xml:space="preserve"> </w:t>
      </w:r>
    </w:p>
    <w:bookmarkEnd w:id="203"/>
    <w:bookmarkStart w:id="204" w:name="goal-requirements-40"/>
    <w:p>
      <w:pPr>
        <w:pStyle w:val="berschrift5"/>
      </w:pPr>
      <w:r>
        <w:t xml:space="preserve">Goal requirements:</w:t>
      </w:r>
    </w:p>
    <w:p>
      <w:pPr>
        <w:pStyle w:val="FirstParagraph"/>
      </w:pPr>
      <w:r>
        <w:t xml:space="preserve">All files are provided using cloud-optimized file formats.</w:t>
      </w:r>
    </w:p>
    <w:bookmarkEnd w:id="204"/>
    <w:bookmarkStart w:id="205"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5"/>
    <w:bookmarkEnd w:id="206"/>
    <w:bookmarkStart w:id="210"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7"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1"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1"/>
    <w:bookmarkStart w:id="212" w:name="goal-requirements-42"/>
    <w:p>
      <w:pPr>
        <w:pStyle w:val="berschrift5"/>
      </w:pPr>
      <w:r>
        <w:t xml:space="preserve">Goal requirements:</w:t>
      </w:r>
    </w:p>
    <w:p>
      <w:pPr>
        <w:pStyle w:val="FirstParagraph"/>
      </w:pPr>
      <w:r>
        <w:t xml:space="preserve">As threshold, but use of float32.</w:t>
      </w:r>
    </w:p>
    <w:bookmarkEnd w:id="212"/>
    <w:bookmarkStart w:id="213"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3"/>
    <w:bookmarkEnd w:id="214"/>
    <w:bookmarkStart w:id="21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5"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5"/>
    <w:bookmarkStart w:id="216" w:name="goal-requirements-43"/>
    <w:p>
      <w:pPr>
        <w:pStyle w:val="berschrift5"/>
      </w:pPr>
      <w:r>
        <w:t xml:space="preserve">Goal requirements:</w:t>
      </w:r>
    </w:p>
    <w:p>
      <w:pPr>
        <w:pStyle w:val="FirstParagraph"/>
      </w:pPr>
      <w:r>
        <w:t xml:space="preserve">As threshold.</w:t>
      </w:r>
      <w:r>
        <w:t xml:space="preserve"> </w:t>
      </w:r>
    </w:p>
    <w:bookmarkEnd w:id="216"/>
    <w:bookmarkStart w:id="217"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7"/>
    <w:bookmarkEnd w:id="218"/>
    <w:bookmarkStart w:id="222"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9"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9"/>
    <w:bookmarkStart w:id="220" w:name="goal-requirements-44"/>
    <w:p>
      <w:pPr>
        <w:pStyle w:val="berschrift5"/>
      </w:pPr>
      <w:r>
        <w:t xml:space="preserve">Goal requirements:</w:t>
      </w:r>
    </w:p>
    <w:p>
      <w:pPr>
        <w:pStyle w:val="FirstParagraph"/>
      </w:pPr>
      <w:r>
        <w:t xml:space="preserve">As threshold.</w:t>
      </w:r>
      <w:r>
        <w:t xml:space="preserve"> </w:t>
      </w:r>
    </w:p>
    <w:bookmarkEnd w:id="220"/>
    <w:bookmarkStart w:id="221"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1"/>
    <w:bookmarkEnd w:id="222"/>
    <w:bookmarkStart w:id="22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4"/>
    <w:bookmarkStart w:id="225"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5"/>
    <w:bookmarkEnd w:id="226"/>
    <w:bookmarkStart w:id="230"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7" w:name="threshold-requirements-46"/>
    <w:p>
      <w:pPr>
        <w:pStyle w:val="berschrift5"/>
      </w:pPr>
      <w:r>
        <w:t xml:space="preserve">Threshold requirements:</w:t>
      </w:r>
    </w:p>
    <w:p>
      <w:pPr>
        <w:pStyle w:val="FirstParagraph"/>
      </w:pPr>
      <w:r>
        <w:t xml:space="preserve">Not required.</w:t>
      </w:r>
      <w:r>
        <w:t xml:space="preserve"> </w:t>
      </w:r>
    </w:p>
    <w:bookmarkEnd w:id="227"/>
    <w:bookmarkStart w:id="228"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8"/>
    <w:bookmarkStart w:id="229"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9"/>
    <w:bookmarkEnd w:id="230"/>
    <w:bookmarkEnd w:id="231"/>
    <w:bookmarkStart w:id="25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5"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32" w:name="threshold-requirements-47"/>
    <w:p>
      <w:pPr>
        <w:pStyle w:val="berschrift5"/>
      </w:pPr>
      <w:r>
        <w:t xml:space="preserve">Threshold requirements:</w:t>
      </w:r>
    </w:p>
    <w:p>
      <w:pPr>
        <w:pStyle w:val="FirstParagraph"/>
      </w:pPr>
      <w:r>
        <w:t xml:space="preserve">Not required.</w:t>
      </w:r>
      <w:r>
        <w:t xml:space="preserve"> </w:t>
      </w:r>
    </w:p>
    <w:bookmarkEnd w:id="232"/>
    <w:bookmarkStart w:id="233"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3"/>
    <w:bookmarkStart w:id="234"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4"/>
    <w:bookmarkEnd w:id="235"/>
    <w:bookmarkStart w:id="239"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6"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6"/>
    <w:bookmarkStart w:id="237"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7"/>
    <w:bookmarkStart w:id="238"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8"/>
    <w:bookmarkEnd w:id="239"/>
    <w:bookmarkStart w:id="243"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40"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40"/>
    <w:bookmarkStart w:id="241"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1"/>
    <w:bookmarkStart w:id="242"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2"/>
    <w:bookmarkEnd w:id="243"/>
    <w:bookmarkStart w:id="247"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4" w:name="threshold-requirements-50"/>
    <w:p>
      <w:pPr>
        <w:pStyle w:val="berschrift5"/>
      </w:pPr>
      <w:r>
        <w:t xml:space="preserve">Threshold requirements:</w:t>
      </w:r>
    </w:p>
    <w:p>
      <w:pPr>
        <w:pStyle w:val="FirstParagraph"/>
      </w:pPr>
      <w:r>
        <w:t xml:space="preserve">Not required.</w:t>
      </w:r>
      <w:r>
        <w:t xml:space="preserve"> </w:t>
      </w:r>
    </w:p>
    <w:bookmarkEnd w:id="244"/>
    <w:bookmarkStart w:id="245"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5"/>
    <w:bookmarkStart w:id="246"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8"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8"/>
    <w:bookmarkStart w:id="249"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9"/>
    <w:bookmarkStart w:id="250"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60"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4"/>
    <w:bookmarkStart w:id="25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5"/>
    <w:bookmarkStart w:id="25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6"/>
    <w:bookmarkStart w:id="25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7"/>
    <w:bookmarkStart w:id="25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8"/>
    <w:bookmarkStart w:id="25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9"/>
    <w:bookmarkEnd w:id="260"/>
    <w:bookmarkStart w:id="26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1"/>
    <w:bookmarkStart w:id="26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3"/>
    <w:bookmarkStart w:id="26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4"/>
    <w:bookmarkEnd w:id="265"/>
    <w:bookmarkStart w:id="293" w:name="references"/>
    <w:p>
      <w:pPr>
        <w:pStyle w:val="berschrift2"/>
      </w:pPr>
      <w:r>
        <w:t xml:space="preserve">References</w:t>
      </w:r>
    </w:p>
    <w:bookmarkStart w:id="292" w:name="refs"/>
    <w:bookmarkStart w:id="267"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6">
        <w:r>
          <w:rPr>
            <w:rStyle w:val="Hyperlink"/>
          </w:rPr>
          <w:t xml:space="preserve">https://doi.org/10.1109/36.499784</w:t>
        </w:r>
      </w:hyperlink>
      <w:r>
        <w:t xml:space="preserve">.</w:t>
      </w:r>
    </w:p>
    <w:bookmarkEnd w:id="267"/>
    <w:bookmarkStart w:id="269"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8">
        <w:r>
          <w:rPr>
            <w:rStyle w:val="Hyperlink"/>
          </w:rPr>
          <w:t xml:space="preserve">https://doi.org/10.1109/36.485127</w:t>
        </w:r>
      </w:hyperlink>
      <w:r>
        <w:t xml:space="preserve">.</w:t>
      </w:r>
    </w:p>
    <w:bookmarkEnd w:id="269"/>
    <w:bookmarkStart w:id="271"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70">
        <w:r>
          <w:rPr>
            <w:rStyle w:val="Hyperlink"/>
          </w:rPr>
          <w:t xml:space="preserve">https://doi.org/10.1109/36.673687</w:t>
        </w:r>
      </w:hyperlink>
      <w:r>
        <w:t xml:space="preserve">.</w:t>
      </w:r>
    </w:p>
    <w:bookmarkEnd w:id="271"/>
    <w:bookmarkStart w:id="273"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72">
        <w:r>
          <w:rPr>
            <w:rStyle w:val="Hyperlink"/>
          </w:rPr>
          <w:t xml:space="preserve">https://doi.org/10.1080/2150704X.2012.687470</w:t>
        </w:r>
      </w:hyperlink>
      <w:r>
        <w:t xml:space="preserve">.</w:t>
      </w:r>
    </w:p>
    <w:bookmarkEnd w:id="273"/>
    <w:bookmarkStart w:id="274"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74"/>
    <w:bookmarkStart w:id="275"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5"/>
    <w:bookmarkStart w:id="277"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6">
        <w:r>
          <w:rPr>
            <w:rStyle w:val="Hyperlink"/>
          </w:rPr>
          <w:t xml:space="preserve">https://doi.org/10.1109/TGRS.2008.2002881</w:t>
        </w:r>
      </w:hyperlink>
      <w:r>
        <w:t xml:space="preserve">.</w:t>
      </w:r>
    </w:p>
    <w:bookmarkEnd w:id="277"/>
    <w:bookmarkStart w:id="279"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8">
        <w:r>
          <w:rPr>
            <w:rStyle w:val="Hyperlink"/>
          </w:rPr>
          <w:t xml:space="preserve">https://doi.org/10.1029/2011JE003986</w:t>
        </w:r>
      </w:hyperlink>
      <w:r>
        <w:t xml:space="preserve">.</w:t>
      </w:r>
    </w:p>
    <w:bookmarkEnd w:id="279"/>
    <w:bookmarkStart w:id="281"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0">
        <w:r>
          <w:rPr>
            <w:rStyle w:val="Hyperlink"/>
          </w:rPr>
          <w:t xml:space="preserve">https://doi.org/10.1109/TGRS.2022.3147472</w:t>
        </w:r>
      </w:hyperlink>
      <w:r>
        <w:t xml:space="preserve">.</w:t>
      </w:r>
    </w:p>
    <w:bookmarkEnd w:id="281"/>
    <w:bookmarkStart w:id="283"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2">
        <w:r>
          <w:rPr>
            <w:rStyle w:val="Hyperlink"/>
          </w:rPr>
          <w:t xml:space="preserve">https://doi.org/10.1109/TGRS.2011.2120616</w:t>
        </w:r>
      </w:hyperlink>
      <w:r>
        <w:t xml:space="preserve">.</w:t>
      </w:r>
    </w:p>
    <w:bookmarkEnd w:id="283"/>
    <w:bookmarkStart w:id="285"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4">
        <w:r>
          <w:rPr>
            <w:rStyle w:val="Hyperlink"/>
          </w:rPr>
          <w:t xml:space="preserve">https://doi.org/10.1109/TGRS.2012.2233206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End w:id="292"/>
    <w:p>
      <w:r>
        <w:br w:type="page"/>
      </w:r>
    </w:p>
    <w:bookmarkEnd w:id="293"/>
    <w:bookmarkStart w:id="329" w:name="annexes"/>
    <w:p>
      <w:pPr>
        <w:pStyle w:val="berschrift2"/>
      </w:pPr>
      <w:r>
        <w:t xml:space="preserve">Annexes</w:t>
      </w:r>
    </w:p>
    <w:bookmarkStart w:id="295"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4"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4"/>
    <w:bookmarkEnd w:id="295"/>
    <w:bookmarkStart w:id="307"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6"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96"/>
    </w:p>
    <w:p>
      <w:pPr>
        <w:pStyle w:val="FirstParagraph"/>
      </w:pPr>
      <w:r>
        <w:t xml:space="preserve">Where</w:t>
      </w:r>
    </w:p>
    <w:p>
      <w:pPr>
        <w:pStyle w:val="Textkrper"/>
      </w:pPr>
      <w:bookmarkStart w:id="297"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97"/>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8"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98"/>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9"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99"/>
    </w:p>
    <w:p>
      <w:pPr>
        <w:pStyle w:val="FirstParagraph"/>
      </w:pPr>
      <w:bookmarkStart w:id="300"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0"/>
    </w:p>
    <w:p>
      <w:pPr>
        <w:pStyle w:val="FirstParagraph"/>
      </w:pPr>
      <w:r>
        <w:t xml:space="preserve">The differential phase is</w:t>
      </w:r>
    </w:p>
    <w:p>
      <w:pPr>
        <w:pStyle w:val="Textkrper"/>
      </w:pPr>
      <w:bookmarkStart w:id="301"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1"/>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2"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2"/>
    </w:p>
    <w:p>
      <w:pPr>
        <w:pStyle w:val="FirstParagraph"/>
      </w:pPr>
      <w:bookmarkStart w:id="303"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03"/>
    </w:p>
    <w:p>
      <w:pPr>
        <w:pStyle w:val="FirstParagraph"/>
      </w:pPr>
      <w:bookmarkStart w:id="304"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04"/>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5"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05"/>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6"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06"/>
    </w:p>
    <w:bookmarkEnd w:id="307"/>
    <w:bookmarkStart w:id="314"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8"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308"/>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9"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309"/>
    </w:p>
    <w:p>
      <w:pPr>
        <w:pStyle w:val="FirstParagraph"/>
      </w:pPr>
      <w:bookmarkStart w:id="310"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10"/>
    </w:p>
    <w:p>
      <w:pPr>
        <w:pStyle w:val="FirstParagraph"/>
      </w:pPr>
      <w:bookmarkStart w:id="311"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11"/>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2"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12"/>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3"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13"/>
    </w:p>
    <w:bookmarkEnd w:id="314"/>
    <w:bookmarkStart w:id="319"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6"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r>
          <m:rPr>
            <m:sty m:val="p"/>
          </m:rPr>
          <m:t>|</m:t>
        </m:r>
        <m:r>
          <m:t>α</m:t>
        </m:r>
        <m:sSup>
          <m:e>
            <m:r>
              <m:rPr>
                <m:sty m:val="p"/>
              </m:rPr>
              <m:t>|</m:t>
            </m:r>
          </m:e>
          <m:sup>
            <m:r>
              <m:t>2</m:t>
            </m:r>
          </m:sup>
        </m:sSup>
      </m:oMath>
      <w:r>
        <w:t xml:space="preserve">: sphere (odd-bounce interaction) [Intensity]</w:t>
      </w:r>
    </w:p>
    <w:p>
      <w:pPr>
        <w:pStyle w:val="Compact"/>
        <w:numPr>
          <w:ilvl w:val="0"/>
          <w:numId w:val="1098"/>
        </w:numPr>
      </w:pPr>
      <m:oMath>
        <m:r>
          <m:rPr>
            <m:sty m:val="p"/>
          </m:rPr>
          <m:t>|</m:t>
        </m:r>
        <m:r>
          <m:t>β</m:t>
        </m:r>
        <m:sSup>
          <m:e>
            <m:r>
              <m:rPr>
                <m:sty m:val="p"/>
              </m:rPr>
              <m:t>|</m:t>
            </m:r>
          </m:e>
          <m:sup>
            <m:r>
              <m:t>2</m:t>
            </m:r>
          </m:sup>
        </m:sSup>
      </m:oMath>
      <w:r>
        <w:t xml:space="preserve">: 0° diplane (even-bounce interaction) [Intensity]</w:t>
      </w:r>
    </w:p>
    <w:p>
      <w:pPr>
        <w:pStyle w:val="Compact"/>
        <w:numPr>
          <w:ilvl w:val="0"/>
          <w:numId w:val="1098"/>
        </w:numPr>
      </w:pPr>
      <m:oMath>
        <m:r>
          <m:rPr>
            <m:sty m:val="p"/>
          </m:rPr>
          <m:t>|</m:t>
        </m:r>
        <m:r>
          <m:t>γ</m:t>
        </m:r>
        <m:sSup>
          <m:e>
            <m:r>
              <m:rPr>
                <m:sty m:val="p"/>
              </m:rPr>
              <m:t>|</m:t>
            </m:r>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0"/>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0"/>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0"/>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rPr>
                <m:sty m:val="p"/>
              </m:rP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315"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5"/>
    <w:bookmarkEnd w:id="316"/>
    <w:bookmarkStart w:id="318"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7"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7"/>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8"/>
    <w:bookmarkEnd w:id="319"/>
    <w:bookmarkStart w:id="328"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23"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21" name="Picture"/>
            <a:graphic>
              <a:graphicData uri="http://schemas.openxmlformats.org/drawingml/2006/picture">
                <pic:pic>
                  <pic:nvPicPr>
                    <pic:cNvPr descr="assets/sar-pol-examples/pol-decomposition.jpeg" id="322" name="Picture"/>
                    <pic:cNvPicPr>
                      <a:picLocks noChangeArrowheads="1" noChangeAspect="1"/>
                    </pic:cNvPicPr>
                  </pic:nvPicPr>
                  <pic:blipFill>
                    <a:blip r:embed="rId320"/>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23"/>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7"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5" name="Picture"/>
            <a:graphic>
              <a:graphicData uri="http://schemas.openxmlformats.org/drawingml/2006/picture">
                <pic:pic>
                  <pic:nvPicPr>
                    <pic:cNvPr descr="assets/sar-pol-examples/m-chi-decomposition.jpeg" id="326" name="Picture"/>
                    <pic:cNvPicPr>
                      <a:picLocks noChangeArrowheads="1" noChangeAspect="1"/>
                    </pic:cNvPicPr>
                  </pic:nvPicPr>
                  <pic:blipFill>
                    <a:blip r:embed="rId324"/>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7"/>
    <w:bookmarkEnd w:id="328"/>
    <w:bookmarkEnd w:id="329"/>
    <w:bookmarkEnd w:id="33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24" Target="media/rId324.jpg" /><Relationship Type="http://schemas.openxmlformats.org/officeDocument/2006/relationships/image" Id="rId320" Target="media/rId320.jpg" /><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78" Target="https://doi.org/10.1029/2011JE003986" TargetMode="External" /><Relationship Type="http://schemas.openxmlformats.org/officeDocument/2006/relationships/hyperlink" Id="rId272" Target="https://doi.org/10.1080/2150704X.2012.687470" TargetMode="External" /><Relationship Type="http://schemas.openxmlformats.org/officeDocument/2006/relationships/hyperlink" Id="rId268" Target="https://doi.org/10.1109/36.485127" TargetMode="External" /><Relationship Type="http://schemas.openxmlformats.org/officeDocument/2006/relationships/hyperlink" Id="rId266" Target="https://doi.org/10.1109/36.499784" TargetMode="External" /><Relationship Type="http://schemas.openxmlformats.org/officeDocument/2006/relationships/hyperlink" Id="rId270" Target="https://doi.org/10.1109/36.673687" TargetMode="External" /><Relationship Type="http://schemas.openxmlformats.org/officeDocument/2006/relationships/hyperlink" Id="rId288" Target="https://doi.org/10.1109/LGRS.2017.2753580" TargetMode="External" /><Relationship Type="http://schemas.openxmlformats.org/officeDocument/2006/relationships/hyperlink" Id="rId276"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2" Target="https://doi.org/10.1109/TGRS.2011.2120616" TargetMode="External" /><Relationship Type="http://schemas.openxmlformats.org/officeDocument/2006/relationships/hyperlink" Id="rId284" Target="https://doi.org/10.1109/TGRS.2012.2233206" TargetMode="External" /><Relationship Type="http://schemas.openxmlformats.org/officeDocument/2006/relationships/hyperlink" Id="rId280"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78" Target="https://doi.org/10.1029/2011JE003986" TargetMode="External" /><Relationship Type="http://schemas.openxmlformats.org/officeDocument/2006/relationships/hyperlink" Id="rId272" Target="https://doi.org/10.1080/2150704X.2012.687470" TargetMode="External" /><Relationship Type="http://schemas.openxmlformats.org/officeDocument/2006/relationships/hyperlink" Id="rId268" Target="https://doi.org/10.1109/36.485127" TargetMode="External" /><Relationship Type="http://schemas.openxmlformats.org/officeDocument/2006/relationships/hyperlink" Id="rId266" Target="https://doi.org/10.1109/36.499784" TargetMode="External" /><Relationship Type="http://schemas.openxmlformats.org/officeDocument/2006/relationships/hyperlink" Id="rId270" Target="https://doi.org/10.1109/36.673687" TargetMode="External" /><Relationship Type="http://schemas.openxmlformats.org/officeDocument/2006/relationships/hyperlink" Id="rId288" Target="https://doi.org/10.1109/LGRS.2017.2753580" TargetMode="External" /><Relationship Type="http://schemas.openxmlformats.org/officeDocument/2006/relationships/hyperlink" Id="rId276"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2" Target="https://doi.org/10.1109/TGRS.2011.2120616" TargetMode="External" /><Relationship Type="http://schemas.openxmlformats.org/officeDocument/2006/relationships/hyperlink" Id="rId284" Target="https://doi.org/10.1109/TGRS.2012.2233206" TargetMode="External" /><Relationship Type="http://schemas.openxmlformats.org/officeDocument/2006/relationships/hyperlink" Id="rId280"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2026-05-29T09:05:36Z</dcterms:created>
  <dcterms:modified xsi:type="dcterms:W3CDTF">2026-05-29T09:05:36Z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