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1"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4"/>
    <w:bookmarkStart w:id="35"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5"/>
    <w:bookmarkStart w:id="36"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6"/>
    <w:bookmarkStart w:id="15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40"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8">
        <w:r>
          <w:rPr>
            <w:rStyle w:val="Hyperlink"/>
          </w:rPr>
          <w:t xml:space="preserve">Policy on measurement traceability</w:t>
        </w:r>
      </w:hyperlink>
    </w:p>
    <w:p>
      <w:pPr>
        <w:pStyle w:val="Compact"/>
        <w:numPr>
          <w:ilvl w:val="0"/>
          <w:numId w:val="1003"/>
        </w:numPr>
      </w:pPr>
      <w:hyperlink r:id="rId39">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3"/>
    <w:bookmarkStart w:id="44"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7"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7"/>
    <w:bookmarkStart w:id="48"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51"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51"/>
    <w:bookmarkStart w:id="52"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5" w:name="threshold-requirements-4"/>
    <w:p>
      <w:pPr>
        <w:pStyle w:val="berschrift5"/>
      </w:pPr>
      <w:r>
        <w:t xml:space="preserve">Threshold requirements:</w:t>
      </w:r>
    </w:p>
    <w:p>
      <w:pPr>
        <w:pStyle w:val="FirstParagraph"/>
      </w:pPr>
      <w:r>
        <w:t xml:space="preserve">The metadata lists the coordinate reference system that has been used.</w:t>
      </w:r>
    </w:p>
    <w:bookmarkEnd w:id="55"/>
    <w:bookmarkStart w:id="56" w:name="goal-requirements-4"/>
    <w:p>
      <w:pPr>
        <w:pStyle w:val="berschrift5"/>
      </w:pPr>
      <w:r>
        <w:t xml:space="preserve">Goal requirements:</w:t>
      </w:r>
    </w:p>
    <w:p>
      <w:pPr>
        <w:pStyle w:val="FirstParagraph"/>
      </w:pPr>
      <w:r>
        <w:t xml:space="preserve">As threshold.</w:t>
      </w:r>
      <w:r>
        <w:t xml:space="preserve"> </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9" w:name="threshold-requirements-5"/>
    <w:p>
      <w:pPr>
        <w:pStyle w:val="berschrift5"/>
      </w:pPr>
      <w:r>
        <w:t xml:space="preserve">Threshold requirements:</w:t>
      </w:r>
    </w:p>
    <w:p>
      <w:pPr>
        <w:pStyle w:val="FirstParagraph"/>
      </w:pPr>
      <w:r>
        <w:t xml:space="preserve">Not required.</w:t>
      </w:r>
      <w:r>
        <w:t xml:space="preserve"> </w:t>
      </w:r>
    </w:p>
    <w:bookmarkEnd w:id="59"/>
    <w:bookmarkStart w:id="60"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60"/>
    <w:bookmarkStart w:id="61"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6"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3" w:name="threshold-requirements-6"/>
    <w:p>
      <w:pPr>
        <w:pStyle w:val="berschrift5"/>
      </w:pPr>
      <w:r>
        <w:t xml:space="preserve">Threshold requirements:</w:t>
      </w:r>
    </w:p>
    <w:p>
      <w:pPr>
        <w:pStyle w:val="FirstParagraph"/>
      </w:pPr>
      <w:r>
        <w:t xml:space="preserve">Not required.</w:t>
      </w:r>
      <w:r>
        <w:t xml:space="preserve"> </w:t>
      </w:r>
    </w:p>
    <w:bookmarkEnd w:id="63"/>
    <w:bookmarkStart w:id="64"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4"/>
    <w:bookmarkStart w:id="65"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5"/>
    <w:bookmarkEnd w:id="66"/>
    <w:bookmarkStart w:id="70"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71" w:name="threshold-requirements-8"/>
    <w:p>
      <w:pPr>
        <w:pStyle w:val="berschrift5"/>
      </w:pPr>
      <w:r>
        <w:t xml:space="preserve">Threshold requirements:</w:t>
      </w:r>
    </w:p>
    <w:p>
      <w:pPr>
        <w:pStyle w:val="FirstParagraph"/>
      </w:pPr>
      <w:r>
        <w:t xml:space="preserve">The instrument used to collect the data is identified in the metadata.</w:t>
      </w:r>
    </w:p>
    <w:bookmarkEnd w:id="71"/>
    <w:bookmarkStart w:id="72"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8"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5"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5"/>
    <w:bookmarkStart w:id="76"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6"/>
    <w:bookmarkStart w:id="77"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7"/>
    <w:bookmarkEnd w:id="78"/>
    <w:bookmarkStart w:id="82"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9" w:name="threshold-requirements-10"/>
    <w:p>
      <w:pPr>
        <w:pStyle w:val="berschrift5"/>
      </w:pPr>
      <w:r>
        <w:t xml:space="preserve">Threshold requirements:</w:t>
      </w:r>
    </w:p>
    <w:p>
      <w:pPr>
        <w:pStyle w:val="FirstParagraph"/>
      </w:pPr>
      <w:r>
        <w:t xml:space="preserve">Not required.</w:t>
      </w:r>
      <w:r>
        <w:t xml:space="preserve"> </w:t>
      </w:r>
    </w:p>
    <w:bookmarkEnd w:id="79"/>
    <w:bookmarkStart w:id="80"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80"/>
    <w:bookmarkStart w:id="81"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1"/>
    <w:bookmarkEnd w:id="82"/>
    <w:bookmarkStart w:id="86"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3" w:name="threshold-requirements-11"/>
    <w:p>
      <w:pPr>
        <w:pStyle w:val="berschrift5"/>
      </w:pPr>
      <w:r>
        <w:t xml:space="preserve">Threshold requirements:</w:t>
      </w:r>
    </w:p>
    <w:p>
      <w:pPr>
        <w:pStyle w:val="FirstParagraph"/>
      </w:pPr>
      <w:r>
        <w:t xml:space="preserve">Not required.</w:t>
      </w:r>
      <w:r>
        <w:t xml:space="preserve"> </w:t>
      </w:r>
    </w:p>
    <w:bookmarkEnd w:id="83"/>
    <w:bookmarkStart w:id="84"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4"/>
    <w:bookmarkStart w:id="85"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5"/>
    <w:bookmarkEnd w:id="86"/>
    <w:bookmarkStart w:id="90"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7"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7"/>
    <w:bookmarkStart w:id="88"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8"/>
    <w:bookmarkStart w:id="89"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91"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91"/>
    <w:bookmarkStart w:id="92"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2"/>
    <w:bookmarkStart w:id="93"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6"/>
    <w:bookmarkStart w:id="97"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9"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9"/>
    <w:bookmarkStart w:id="100" w:name="goal-requirements-15"/>
    <w:p>
      <w:pPr>
        <w:pStyle w:val="berschrift5"/>
      </w:pPr>
      <w:r>
        <w:t xml:space="preserve">Goal requirements:</w:t>
      </w:r>
    </w:p>
    <w:p>
      <w:pPr>
        <w:pStyle w:val="FirstParagraph"/>
      </w:pPr>
      <w:r>
        <w:t xml:space="preserve">As threshold.</w:t>
      </w:r>
      <w:r>
        <w:t xml:space="preserve"> </w:t>
      </w:r>
    </w:p>
    <w:bookmarkEnd w:id="100"/>
    <w:bookmarkStart w:id="101"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1"/>
    <w:bookmarkEnd w:id="102"/>
    <w:bookmarkStart w:id="106"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3" w:name="threshold-requirements-16"/>
    <w:p>
      <w:pPr>
        <w:pStyle w:val="berschrift5"/>
      </w:pPr>
      <w:r>
        <w:t xml:space="preserve">Threshold requirements:</w:t>
      </w:r>
    </w:p>
    <w:p>
      <w:pPr>
        <w:pStyle w:val="FirstParagraph"/>
      </w:pPr>
      <w:r>
        <w:t xml:space="preserve">Not required.</w:t>
      </w:r>
      <w:r>
        <w:t xml:space="preserve"> </w:t>
      </w:r>
    </w:p>
    <w:bookmarkEnd w:id="103"/>
    <w:bookmarkStart w:id="104"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4"/>
    <w:bookmarkStart w:id="105"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5"/>
    <w:bookmarkEnd w:id="106"/>
    <w:bookmarkEnd w:id="107"/>
    <w:bookmarkStart w:id="14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1"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8"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2"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6"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6"/>
    <w:bookmarkStart w:id="117"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7"/>
    <w:bookmarkStart w:id="118"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20"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20"/>
    <w:bookmarkStart w:id="121" w:name="goal-requirements-20"/>
    <w:p>
      <w:pPr>
        <w:pStyle w:val="berschrift5"/>
      </w:pPr>
      <w:r>
        <w:t xml:space="preserve">Goal requirements:</w:t>
      </w:r>
    </w:p>
    <w:p>
      <w:pPr>
        <w:pStyle w:val="FirstParagraph"/>
      </w:pPr>
      <w:r>
        <w:t xml:space="preserve">Metadata indicates which pixels are saturated for each spectral band.</w:t>
      </w:r>
    </w:p>
    <w:bookmarkEnd w:id="121"/>
    <w:bookmarkStart w:id="122"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4" w:name="threshold-requirements-21"/>
    <w:p>
      <w:pPr>
        <w:pStyle w:val="berschrift5"/>
      </w:pPr>
      <w:r>
        <w:t xml:space="preserve">Threshold requirements:</w:t>
      </w:r>
    </w:p>
    <w:p>
      <w:pPr>
        <w:pStyle w:val="FirstParagraph"/>
      </w:pPr>
      <w:r>
        <w:t xml:space="preserve">Metadata indicates whether a pixel is assessed as being cloud.</w:t>
      </w:r>
    </w:p>
    <w:bookmarkEnd w:id="124"/>
    <w:bookmarkStart w:id="125"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5"/>
    <w:bookmarkStart w:id="126"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6"/>
    <w:bookmarkEnd w:id="127"/>
    <w:bookmarkStart w:id="131"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8" w:name="threshold-requirements-22"/>
    <w:p>
      <w:pPr>
        <w:pStyle w:val="berschrift5"/>
      </w:pPr>
      <w:r>
        <w:t xml:space="preserve">Threshold requirements:</w:t>
      </w:r>
    </w:p>
    <w:p>
      <w:pPr>
        <w:pStyle w:val="FirstParagraph"/>
      </w:pPr>
      <w:r>
        <w:t xml:space="preserve">Metadata indicates whether a pixel is assessed as being cloud shadow.</w:t>
      </w:r>
    </w:p>
    <w:bookmarkEnd w:id="128"/>
    <w:bookmarkStart w:id="129"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9"/>
    <w:bookmarkStart w:id="130"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30"/>
    <w:bookmarkEnd w:id="131"/>
    <w:bookmarkStart w:id="135"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3"/>
    <w:bookmarkStart w:id="134"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4"/>
    <w:bookmarkEnd w:id="135"/>
    <w:bookmarkStart w:id="139"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6" w:name="threshold-requirements-24"/>
    <w:p>
      <w:pPr>
        <w:pStyle w:val="berschrift5"/>
      </w:pPr>
      <w:r>
        <w:t xml:space="preserve">Threshold requirements:</w:t>
      </w:r>
    </w:p>
    <w:p>
      <w:pPr>
        <w:pStyle w:val="FirstParagraph"/>
      </w:pPr>
      <w:r>
        <w:t xml:space="preserve">Provide average solar and sensor viewing azimuth and zenith angles.</w:t>
      </w:r>
    </w:p>
    <w:bookmarkEnd w:id="136"/>
    <w:bookmarkStart w:id="137" w:name="goal-requirements-24"/>
    <w:p>
      <w:pPr>
        <w:pStyle w:val="berschrift5"/>
      </w:pPr>
      <w:r>
        <w:t xml:space="preserve">Goal requirements:</w:t>
      </w:r>
    </w:p>
    <w:p>
      <w:pPr>
        <w:pStyle w:val="FirstParagraph"/>
      </w:pPr>
      <w:r>
        <w:t xml:space="preserve">Provide per-pixel solar and sensor viewing azimuth and zenith angles.</w:t>
      </w:r>
    </w:p>
    <w:bookmarkEnd w:id="137"/>
    <w:bookmarkStart w:id="138"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8"/>
    <w:bookmarkEnd w:id="139"/>
    <w:bookmarkEnd w:id="140"/>
    <w:bookmarkStart w:id="15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4"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41"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41"/>
    <w:bookmarkStart w:id="142"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ace-st">
        <w:r>
          <w:rPr>
            <w:rStyle w:val="Hyperlink"/>
          </w:rPr>
          <w:t xml:space="preserve">General Metadata: Traceability</w:t>
        </w:r>
      </w:hyperlink>
      <w:r>
        <w:t xml:space="preserve">”</w:t>
      </w:r>
      <w:r>
        <w:t xml:space="preserve">).</w:t>
      </w:r>
    </w:p>
    <w:bookmarkEnd w:id="142"/>
    <w:bookmarkStart w:id="143"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3"/>
    <w:bookmarkEnd w:id="144"/>
    <w:bookmarkStart w:id="148"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5"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9" w:name="threshold-requirements-27"/>
    <w:p>
      <w:pPr>
        <w:pStyle w:val="berschrift5"/>
      </w:pPr>
      <w:r>
        <w:t xml:space="preserve">Threshold requirements:</w:t>
      </w:r>
    </w:p>
    <w:p>
      <w:pPr>
        <w:pStyle w:val="FirstParagraph"/>
      </w:pPr>
      <w:r>
        <w:t xml:space="preserve">Not required.</w:t>
      </w:r>
      <w:r>
        <w:t xml:space="preserve"> </w:t>
      </w:r>
    </w:p>
    <w:bookmarkEnd w:id="149"/>
    <w:bookmarkStart w:id="150"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51"/>
    <w:bookmarkEnd w:id="152"/>
    <w:bookmarkEnd w:id="153"/>
    <w:bookmarkStart w:id="15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7"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4"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4"/>
    <w:bookmarkStart w:id="155"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5"/>
    <w:bookmarkStart w:id="156"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6"/>
    <w:bookmarkEnd w:id="157"/>
    <w:bookmarkEnd w:id="158"/>
    <w:bookmarkEnd w:id="159"/>
    <w:bookmarkStart w:id="164" w:name="summary-self-assessment-table"/>
    <w:p>
      <w:pPr>
        <w:pStyle w:val="berschrift2"/>
      </w:pPr>
      <w:r>
        <w:t xml:space="preserve">Summary Self-Assessment Table</w:t>
      </w:r>
    </w:p>
    <w:bookmarkStart w:id="16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60"/>
    <w:bookmarkStart w:id="16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61"/>
    <w:bookmarkStart w:id="16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62"/>
    <w:bookmarkStart w:id="16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3"/>
    <w:bookmarkEnd w:id="164"/>
    <w:bookmarkStart w:id="16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5"/>
    <w:bookmarkStart w:id="16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7"/>
    <w:bookmarkStart w:id="16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8"/>
    <w:bookmarkEnd w:id="169"/>
    <w:bookmarkStart w:id="176" w:name="references"/>
    <w:p>
      <w:pPr>
        <w:pStyle w:val="berschrift2"/>
      </w:pPr>
      <w:r>
        <w:t xml:space="preserve">References</w:t>
      </w:r>
    </w:p>
    <w:bookmarkStart w:id="175" w:name="refs"/>
    <w:bookmarkStart w:id="171"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70">
        <w:r>
          <w:rPr>
            <w:rStyle w:val="Hyperlink"/>
          </w:rPr>
          <w:t xml:space="preserve">https://doi.org/10.3390/rs61111244</w:t>
        </w:r>
      </w:hyperlink>
      <w:r>
        <w:t xml:space="preserve">.</w:t>
      </w:r>
    </w:p>
    <w:bookmarkEnd w:id="171"/>
    <w:bookmarkStart w:id="17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72"/>
    <w:bookmarkStart w:id="174"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3">
        <w:r>
          <w:rPr>
            <w:rStyle w:val="Hyperlink"/>
          </w:rPr>
          <w:t xml:space="preserve">https://doi.org/10.1016/j.rse.2012.12.008</w:t>
        </w:r>
      </w:hyperlink>
      <w:r>
        <w:t xml:space="preserve">.</w:t>
      </w:r>
    </w:p>
    <w:bookmarkEnd w:id="174"/>
    <w:bookmarkEnd w:id="175"/>
    <w:p>
      <w:r>
        <w:br w:type="page"/>
      </w:r>
    </w:p>
    <w:bookmarkEnd w:id="176"/>
    <w:bookmarkStart w:id="200" w:name="annexes"/>
    <w:p>
      <w:pPr>
        <w:pStyle w:val="berschrift2"/>
      </w:pPr>
      <w:r>
        <w:t xml:space="preserve">Annexes</w:t>
      </w:r>
    </w:p>
    <w:bookmarkStart w:id="177" w:name="sec:annex-st-metadata-examples"/>
    <w:p>
      <w:pPr>
        <w:pStyle w:val="berschrift3"/>
      </w:pPr>
      <w:r>
        <w:t xml:space="preserve">CEOS-ARD Requirement Examples (Surface Temperature)</w:t>
      </w:r>
    </w:p>
    <w:bookmarkEnd w:id="177"/>
    <w:bookmarkStart w:id="190" w:name="general-metadata-1"/>
    <w:p>
      <w:pPr>
        <w:pStyle w:val="berschrift3"/>
      </w:pPr>
      <w:r>
        <w:t xml:space="preserve">General Metadata</w:t>
      </w:r>
    </w:p>
    <w:bookmarkStart w:id="178" w:name="traceability"/>
    <w:p>
      <w:pPr>
        <w:pStyle w:val="berschrift4"/>
      </w:pPr>
      <w:r>
        <w:t xml:space="preserve">Traceability</w:t>
      </w:r>
    </w:p>
    <w:p>
      <w:pPr>
        <w:pStyle w:val="FirstParagraph"/>
      </w:pPr>
      <w:r>
        <w:t xml:space="preserve">Refers to Section </w:t>
      </w:r>
      <w:r>
        <w:t xml:space="preserve">“</w:t>
      </w:r>
      <w:hyperlink w:anchor="sec:meta-trace-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"st_qa"</w:t>
      </w:r>
      <w:r>
        <w:rPr>
          <w:rStyle w:val="NormalTok"/>
        </w:rPr>
        <w:t xml:space="preserve"> </w:t>
      </w:r>
      <w:r>
        <w:rPr>
          <w:rStyle w:val="OtherTok"/>
        </w:rPr>
        <w:t xml:space="preserve">scale_factor=</w:t>
      </w:r>
      <w:r>
        <w:rPr>
          <w:rStyle w:val="StringTok"/>
        </w:rPr>
        <w:t xml:space="preserve">"0.010000"</w:t>
      </w:r>
      <w:r>
        <w:rPr>
          <w:rStyle w:val="NormalTok"/>
        </w:rPr>
        <w:t xml:space="preserve"> </w:t>
      </w:r>
      <w:r>
        <w:rPr>
          <w:rStyle w:val="OtherTok"/>
        </w:rPr>
        <w:t xml:space="preserve">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"32767.000000"</w:t>
      </w:r>
      <w:r>
        <w:rPr>
          <w:rStyle w:val="NormalTok"/>
        </w:rPr>
        <w:t xml:space="preserve"> </w:t>
      </w:r>
      <w:r>
        <w:rPr>
          <w:rStyle w:val="OtherTok"/>
        </w:rPr>
        <w:t xml:space="preserve">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8"/>
    <w:bookmarkStart w:id="179" w:name="data-collection-time"/>
    <w:p>
      <w:pPr>
        <w:pStyle w:val="berschrift4"/>
      </w:pPr>
      <w:r>
        <w:t xml:space="preserve">Data Collection Time</w:t>
      </w:r>
    </w:p>
    <w:p>
      <w:pPr>
        <w:pStyle w:val="FirstParagraph"/>
      </w:pPr>
      <w:r>
        <w:t xml:space="preserve">Refers to Section </w:t>
      </w:r>
      <w:r>
        <w:t xml:space="preserve">“</w:t>
      </w:r>
      <w:hyperlink w:anchor="sec:meta-time-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"acquisitionPeriod"</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 “indices_in.nc” datafiles following a prescribed recipe.</w:t>
      </w:r>
    </w:p>
    <w:bookmarkEnd w:id="179"/>
    <w:bookmarkStart w:id="180" w:name="geographical-area"/>
    <w:p>
      <w:pPr>
        <w:pStyle w:val="berschrift4"/>
      </w:pPr>
      <w:r>
        <w:t xml:space="preserve">Geographical Area</w:t>
      </w:r>
    </w:p>
    <w:p>
      <w:pPr>
        <w:pStyle w:val="FirstParagraph"/>
      </w:pPr>
      <w:r>
        <w:t xml:space="preserve">Refers to Section </w:t>
      </w:r>
      <w:r>
        <w:t xml:space="preserve">“</w:t>
      </w:r>
      <w:hyperlink w:anchor="sec:meta-geoare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p>
    <w:bookmarkEnd w:id="180"/>
    <w:bookmarkStart w:id="181" w:name="map-projection"/>
    <w:p>
      <w:pPr>
        <w:pStyle w:val="berschrift4"/>
      </w:pPr>
      <w:r>
        <w:t xml:space="preserve">Map Projection</w:t>
      </w:r>
    </w:p>
    <w:p>
      <w:pPr>
        <w:pStyle w:val="FirstParagraph"/>
      </w:pPr>
      <w:r>
        <w:t xml:space="preserve">Refers to Section </w:t>
      </w:r>
      <w:r>
        <w:t xml:space="preserve">“</w:t>
      </w:r>
      <w:hyperlink w:anchor="sec:meta-mapproj-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NormalTok"/>
        </w:rPr>
        <w:t xml:space="preserve"> </w:t>
      </w:r>
      <w:r>
        <w:rPr>
          <w:rStyle w:val="OtherTok"/>
        </w:rPr>
        <w:t xml:space="preserve">datum=</w:t>
      </w:r>
      <w:r>
        <w:rPr>
          <w:rStyle w:val="StringTok"/>
        </w:rPr>
        <w:t xml:space="preserve">"WGS84"</w:t>
      </w:r>
      <w:r>
        <w:rPr>
          <w:rStyle w:val="NormalTok"/>
        </w:rPr>
        <w:t xml:space="preserve"> </w:t>
      </w:r>
      <w:r>
        <w:rPr>
          <w:rStyle w:val="OtherTok"/>
        </w:rPr>
        <w:t xml:space="preserve">projection=</w:t>
      </w:r>
      <w:r>
        <w:rPr>
          <w:rStyle w:val="StringTok"/>
        </w:rPr>
        <w:t xml:space="preserve">"AEA"</w:t>
      </w:r>
      <w:r>
        <w:rPr>
          <w:rStyle w:val="NormalTok"/>
        </w:rPr>
        <w:t xml:space="preserve"> </w:t>
      </w:r>
      <w:r>
        <w:rPr>
          <w:rStyle w:val="OtherTok"/>
        </w:rPr>
        <w:t xml:space="preserve">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81"/>
    <w:bookmarkStart w:id="182" w:name="geometric-correction-source"/>
    <w:p>
      <w:pPr>
        <w:pStyle w:val="berschrift4"/>
      </w:pPr>
      <w:r>
        <w:t xml:space="preserve">Geometric Correction Source</w:t>
      </w:r>
    </w:p>
    <w:p>
      <w:pPr>
        <w:pStyle w:val="FirstParagraph"/>
      </w:pPr>
      <w:r>
        <w:t xml:space="preserve">Refers to Section </w:t>
      </w:r>
      <w:r>
        <w:t xml:space="preserve">“</w:t>
      </w:r>
      <w:hyperlink w:anchor="sec:meta-geocor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"S3A_SL_1_GEC_AX_20160216T000000_20991231T235959_20180202T120000___________________MPC_O_AL_007.SEN3"</w:t>
      </w:r>
      <w:r>
        <w:rPr>
          <w:rStyle w:val="NormalTok"/>
        </w:rPr>
        <w:t xml:space="preserve"> </w:t>
      </w:r>
      <w:r>
        <w:rPr>
          <w:rStyle w:val="OtherTok"/>
        </w:rPr>
        <w:t xml:space="preserve">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NormalTok"/>
        </w:rPr>
        <w:t xml:space="preserve"> </w:t>
      </w:r>
      <w:r>
        <w:rPr>
          <w:rStyle w:val="OtherTok"/>
        </w:rPr>
        <w:t xml:space="preserve">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NormalTok"/>
        </w:rPr>
        <w:t xml:space="preserve"> </w:t>
      </w:r>
      <w:r>
        <w:rPr>
          <w:rStyle w:val="OtherTok"/>
        </w:rPr>
        <w:t xml:space="preserve">name=</w:t>
      </w:r>
      <w:r>
        <w:rPr>
          <w:rStyle w:val="StringTok"/>
        </w:rPr>
        <w:t xml:space="preserve">"ESA Mission Performance Coordinating Centre (MPC)"</w:t>
      </w:r>
      <w:r>
        <w:rPr>
          <w:rStyle w:val="NormalTok"/>
        </w:rPr>
        <w:t xml:space="preserve"> </w:t>
      </w:r>
      <w:r>
        <w:rPr>
          <w:rStyle w:val="OtherTok"/>
        </w:rPr>
        <w:t xml:space="preserve">organisation=</w:t>
      </w:r>
      <w:r>
        <w:rPr>
          <w:rStyle w:val="StringTok"/>
        </w:rPr>
        <w:t xml:space="preserve">"ESA Mission Performance Coordinating Centre"</w:t>
      </w:r>
      <w:r>
        <w:rPr>
          <w:rStyle w:val="NormalTok"/>
        </w:rPr>
        <w:t xml:space="preserve"> </w:t>
      </w:r>
      <w:r>
        <w:rPr>
          <w:rStyle w:val="OtherTok"/>
        </w:rPr>
        <w:t xml:space="preserve">site=</w:t>
      </w:r>
      <w:r>
        <w:rPr>
          <w:rStyle w:val="StringTok"/>
        </w:rPr>
        <w:t xml:space="preserve">"Sophia Antipolis"</w:t>
      </w:r>
      <w:r>
        <w:rPr>
          <w:rStyle w:val="NormalTok"/>
        </w:rPr>
        <w:t xml:space="preserve"> </w:t>
      </w:r>
      <w:r>
        <w:rPr>
          <w:rStyle w:val="OtherTok"/>
        </w:rPr>
        <w:t xml:space="preserve">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NormalTok"/>
        </w:rPr>
        <w:t xml:space="preserve"> </w:t>
      </w:r>
      <w:r>
        <w:rPr>
          <w:rStyle w:val="OtherTok"/>
        </w:rPr>
        <w:t xml:space="preserve">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NormalTok"/>
        </w:rPr>
        <w:t xml:space="preserve"> </w:t>
      </w:r>
      <w:r>
        <w:rPr>
          <w:rStyle w:val="OtherTok"/>
        </w:rPr>
        <w:t xml:space="preserve">name=</w:t>
      </w:r>
      <w:r>
        <w:rPr>
          <w:rStyle w:val="StringTok"/>
        </w:rPr>
        <w:t xml:space="preserve">"ADC"</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82"/>
    <w:bookmarkStart w:id="183" w:name="geometric-accuracy-of-the-data"/>
    <w:p>
      <w:pPr>
        <w:pStyle w:val="berschrift4"/>
      </w:pPr>
      <w:r>
        <w:t xml:space="preserve">Geometric Accuracy of the Data</w:t>
      </w:r>
    </w:p>
    <w:p>
      <w:pPr>
        <w:pStyle w:val="FirstParagraph"/>
      </w:pPr>
      <w:r>
        <w:t xml:space="preserve">Refers to Section </w:t>
      </w:r>
      <w:r>
        <w:t xml:space="preserve">“</w:t>
      </w:r>
      <w:hyperlink w:anchor="sec:meta-geoacc-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3"/>
    <w:bookmarkStart w:id="184" w:name="instrument"/>
    <w:p>
      <w:pPr>
        <w:pStyle w:val="berschrift4"/>
      </w:pPr>
      <w:r>
        <w:t xml:space="preserve">Instrument</w:t>
      </w:r>
    </w:p>
    <w:p>
      <w:pPr>
        <w:pStyle w:val="FirstParagraph"/>
      </w:pPr>
      <w:r>
        <w:t xml:space="preserve">Refers to Section </w:t>
      </w:r>
      <w:r>
        <w:t xml:space="preserve">“</w:t>
      </w:r>
      <w:hyperlink w:anchor="sec:meta-instru-optical">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"platform"</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NormalTok"/>
        </w:rPr>
        <w:t xml:space="preserve"> </w:t>
      </w:r>
      <w:r>
        <w:rPr>
          <w:rStyle w:val="OtherTok"/>
        </w:rPr>
        <w:t xml:space="preserve">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NormalTok"/>
        </w:rPr>
        <w:t xml:space="preserve"> </w:t>
      </w:r>
      <w:r>
        <w:rPr>
          <w:rStyle w:val="OtherTok"/>
        </w:rPr>
        <w:t xml:space="preserve">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4"/>
    <w:bookmarkStart w:id="185" w:name="sensor-calibration"/>
    <w:p>
      <w:pPr>
        <w:pStyle w:val="berschrift4"/>
      </w:pPr>
      <w:r>
        <w:t xml:space="preserve">Sensor Calibration</w:t>
      </w:r>
    </w:p>
    <w:p>
      <w:pPr>
        <w:pStyle w:val="FirstParagraph"/>
      </w:pPr>
      <w:r>
        <w:t xml:space="preserve">Refers to Section </w:t>
      </w:r>
      <w:r>
        <w:t xml:space="preserve">“</w:t>
      </w:r>
      <w:hyperlink w:anchor="sec:meta-sencal-optical">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5"/>
    <w:bookmarkStart w:id="186" w:name="algorithms"/>
    <w:p>
      <w:pPr>
        <w:pStyle w:val="berschrift4"/>
      </w:pPr>
      <w:r>
        <w:t xml:space="preserve">Algorithms</w:t>
      </w:r>
    </w:p>
    <w:p>
      <w:pPr>
        <w:pStyle w:val="FirstParagraph"/>
      </w:pPr>
      <w:r>
        <w:t xml:space="preserve">Refers to Section </w:t>
      </w:r>
      <w:r>
        <w:t xml:space="preserve">“</w:t>
      </w:r>
      <w:hyperlink w:anchor="sec:meta-malgos-st">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6"/>
    <w:bookmarkStart w:id="187" w:name="auxiliary-data"/>
    <w:p>
      <w:pPr>
        <w:pStyle w:val="berschrift4"/>
      </w:pPr>
      <w:r>
        <w:t xml:space="preserve">Auxiliary Data</w:t>
      </w:r>
    </w:p>
    <w:p>
      <w:pPr>
        <w:pStyle w:val="FirstParagraph"/>
      </w:pPr>
      <w:r>
        <w:t xml:space="preserve">Refers to Section </w:t>
      </w:r>
      <w:r>
        <w:t xml:space="preserve">“</w:t>
      </w:r>
      <w:hyperlink w:anchor="sec:meta-auxdat-optical">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"S3__SL_2_LSTBAX_20000101T000000_20991231T235959_20151214T120000___________________MPC_O_AL_001.SEN3"</w:t>
      </w:r>
      <w:r>
        <w:rPr>
          <w:rStyle w:val="NormalTok"/>
        </w:rPr>
        <w:t xml:space="preserve"> </w:t>
      </w:r>
      <w:r>
        <w:rPr>
          <w:rStyle w:val="OtherTok"/>
        </w:rPr>
        <w:t xml:space="preserve">role=</w:t>
      </w:r>
      <w:r>
        <w:rPr>
          <w:rStyle w:val="StringTok"/>
        </w:rPr>
        <w:t xml:space="preserve">"SLSTR LST biome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"S3__SL_2_LSTVAX_20000101T000000_20991231T235959_20151214T120000___________________MPC_O_AL_001.SEN3"</w:t>
      </w:r>
      <w:r>
        <w:rPr>
          <w:rStyle w:val="NormalTok"/>
        </w:rPr>
        <w:t xml:space="preserve"> </w:t>
      </w:r>
      <w:r>
        <w:rPr>
          <w:rStyle w:val="OtherTok"/>
        </w:rPr>
        <w:t xml:space="preserve">role=</w:t>
      </w:r>
      <w:r>
        <w:rPr>
          <w:rStyle w:val="StringTok"/>
        </w:rPr>
        <w:t xml:space="preserve">"SLSTR LST vegetation fraction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"S3__SL_2_LSTWAX_20000101T000000_20991231T235959_20151214T120000___________________MPC_O_AL_001.SEN3"</w:t>
      </w:r>
      <w:r>
        <w:rPr>
          <w:rStyle w:val="NormalTok"/>
        </w:rPr>
        <w:t xml:space="preserve"> </w:t>
      </w:r>
      <w:r>
        <w:rPr>
          <w:rStyle w:val="OtherTok"/>
        </w:rPr>
        <w:t xml:space="preserve">role=</w:t>
      </w:r>
      <w:r>
        <w:rPr>
          <w:rStyle w:val="StringTok"/>
        </w:rPr>
        <w:t xml:space="preserve">"SLSTR LST water vapour data file"</w:t>
      </w:r>
      <w:r>
        <w:rPr>
          <w:rStyle w:val="NormalTok"/>
        </w:rPr>
        <w:t xml:space="preserve"> </w:t>
      </w:r>
      <w:r>
        <w:rPr>
          <w:rStyle w:val="OtherTok"/>
        </w:rPr>
        <w:t xml:space="preserve">version=</w:t>
      </w:r>
      <w:r>
        <w:rPr>
          <w:rStyle w:val="StringTok"/>
        </w:rPr>
        <w:t xml:space="preserve">"06.16"</w:t>
      </w:r>
      <w:r>
        <w:rPr>
          <w:rStyle w:val="NormalTok"/>
        </w:rPr>
        <w:t xml:space="preserve">&gt;</w:t>
      </w:r>
    </w:p>
    <w:bookmarkEnd w:id="187"/>
    <w:bookmarkStart w:id="188" w:name="processing-chain-provenance"/>
    <w:p>
      <w:pPr>
        <w:pStyle w:val="berschrift4"/>
      </w:pPr>
      <w:r>
        <w:t xml:space="preserve">Processing Chain Provenance</w:t>
      </w:r>
    </w:p>
    <w:p>
      <w:pPr>
        <w:pStyle w:val="FirstParagraph"/>
      </w:pPr>
      <w:r>
        <w:t xml:space="preserve">Refers to Section </w:t>
      </w:r>
      <w:r>
        <w:t xml:space="preserve">“</w:t>
      </w:r>
      <w:hyperlink w:anchor="sec:meta-proprov-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"processing"</w:t>
      </w:r>
      <w:r>
        <w:rPr>
          <w:rStyle w:val="NormalTok"/>
        </w:rPr>
        <w:t xml:space="preserve"> </w:t>
      </w:r>
      <w:r>
        <w:rPr>
          <w:rStyle w:val="OtherTok"/>
        </w:rPr>
        <w:t xml:space="preserve">classification=</w:t>
      </w:r>
      <w:r>
        <w:rPr>
          <w:rStyle w:val="StringTok"/>
        </w:rPr>
        <w:t xml:space="preserve">"PROVENANCE"</w:t>
      </w:r>
      <w:r>
        <w:rPr>
          <w:rStyle w:val="NormalTok"/>
        </w:rPr>
        <w:t xml:space="preserve"> </w:t>
      </w:r>
      <w:r>
        <w:rPr>
          <w:rStyle w:val="OtherTok"/>
        </w:rPr>
        <w:t xml:space="preserve">category=</w:t>
      </w:r>
      <w:r>
        <w:rPr>
          <w:rStyle w:val="StringTok"/>
        </w:rPr>
        <w:t xml:space="preserve">"PDI"</w:t>
      </w:r>
      <w:r>
        <w:rPr>
          <w:rStyle w:val="NormalTok"/>
        </w:rPr>
        <w:t xml:space="preserve">&gt;</w:t>
      </w:r>
    </w:p>
    <w:bookmarkEnd w:id="188"/>
    <w:bookmarkStart w:id="189" w:name="overall-data-quality"/>
    <w:p>
      <w:pPr>
        <w:pStyle w:val="berschrift4"/>
      </w:pPr>
      <w:r>
        <w:t xml:space="preserve">Overall Data Quality</w:t>
      </w:r>
    </w:p>
    <w:p>
      <w:pPr>
        <w:pStyle w:val="FirstParagraph"/>
      </w:pPr>
      <w:r>
        <w:t xml:space="preserve">Refers to Section </w:t>
      </w:r>
      <w:r>
        <w:t xml:space="preserve">“</w:t>
      </w:r>
      <w:hyperlink w:anchor="sec:meta-odqua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"measurementQualityInformation"</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p>
    <w:bookmarkEnd w:id="189"/>
    <w:bookmarkEnd w:id="190"/>
    <w:bookmarkStart w:id="197" w:name="per-pixel-metadata-1"/>
    <w:p>
      <w:pPr>
        <w:pStyle w:val="berschrift3"/>
      </w:pPr>
      <w:r>
        <w:t xml:space="preserve">Per-Pixel Metadata</w:t>
      </w:r>
    </w:p>
    <w:bookmarkStart w:id="191" w:name="no-data"/>
    <w:p>
      <w:pPr>
        <w:pStyle w:val="berschrift4"/>
      </w:pPr>
      <w:r>
        <w:t xml:space="preserve">No Data</w:t>
      </w:r>
    </w:p>
    <w:p>
      <w:pPr>
        <w:pStyle w:val="FirstParagraph"/>
      </w:pPr>
      <w:r>
        <w:t xml:space="preserve">Refers to Section </w:t>
      </w:r>
      <w:r>
        <w:t xml:space="preserve">“</w:t>
      </w:r>
      <w:hyperlink w:anchor="sec:pxl-pinoda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1"/>
    <w:bookmarkStart w:id="192" w:name="incomplete-testing"/>
    <w:p>
      <w:pPr>
        <w:pStyle w:val="berschrift4"/>
      </w:pPr>
      <w:r>
        <w:t xml:space="preserve">Incomplete Testing</w:t>
      </w:r>
    </w:p>
    <w:p>
      <w:pPr>
        <w:pStyle w:val="FirstParagraph"/>
      </w:pPr>
      <w:r>
        <w:t xml:space="preserve">Refers to Section </w:t>
      </w:r>
      <w:r>
        <w:t xml:space="preserve">“</w:t>
      </w:r>
      <w:hyperlink w:anchor="sec:pxl-pinco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92"/>
    <w:bookmarkStart w:id="193" w:name="saturation"/>
    <w:p>
      <w:pPr>
        <w:pStyle w:val="berschrift4"/>
      </w:pPr>
      <w:r>
        <w:t xml:space="preserve">Saturation</w:t>
      </w:r>
    </w:p>
    <w:p>
      <w:pPr>
        <w:pStyle w:val="FirstParagraph"/>
      </w:pPr>
      <w:r>
        <w:t xml:space="preserve">Refers to Section </w:t>
      </w:r>
      <w:r>
        <w:t xml:space="preserve">“</w:t>
      </w:r>
      <w:hyperlink w:anchor="sec:pxl-pisatur">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"RADSATQA"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"toa_refl"</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3"/>
    <w:bookmarkStart w:id="194" w:name="cloud"/>
    <w:p>
      <w:pPr>
        <w:pStyle w:val="berschrift4"/>
      </w:pPr>
      <w:r>
        <w:t xml:space="preserve">Cloud</w:t>
      </w:r>
    </w:p>
    <w:p>
      <w:pPr>
        <w:pStyle w:val="FirstParagraph"/>
      </w:pPr>
      <w:r>
        <w:t xml:space="preserve">Refers to Section </w:t>
      </w:r>
      <w:r>
        <w:t xml:space="preserve">“</w:t>
      </w:r>
      <w:hyperlink w:anchor="sec:pxl-piclou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"PIXELQA"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"level2_qa"</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4"/>
    <w:bookmarkStart w:id="195" w:name="cloud-shadow"/>
    <w:p>
      <w:pPr>
        <w:pStyle w:val="berschrift4"/>
      </w:pPr>
      <w:r>
        <w:t xml:space="preserve">Cloud Shadow</w:t>
      </w:r>
    </w:p>
    <w:p>
      <w:pPr>
        <w:pStyle w:val="FirstParagraph"/>
      </w:pPr>
      <w:r>
        <w:t xml:space="preserve">Refers to Section </w:t>
      </w:r>
      <w:r>
        <w:t xml:space="preserve">“</w:t>
      </w:r>
      <w:hyperlink w:anchor="sec:pxl-picloudsh">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5"/>
    <w:bookmarkStart w:id="196" w:name="snowice-mask"/>
    <w:p>
      <w:pPr>
        <w:pStyle w:val="berschrift4"/>
      </w:pPr>
      <w:r>
        <w:t xml:space="preserve">Snow/Ice Mask</w:t>
      </w:r>
    </w:p>
    <w:p>
      <w:pPr>
        <w:pStyle w:val="FirstParagraph"/>
      </w:pPr>
      <w:r>
        <w:t xml:space="preserve">Refers to Section </w:t>
      </w:r>
      <w:r>
        <w:t xml:space="preserve">“</w:t>
      </w:r>
      <w:hyperlink w:anchor="sec:pxl-snowice-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6"/>
    <w:bookmarkEnd w:id="197"/>
    <w:bookmarkStart w:id="198" w:name="X28ed3ea323a9ca6f7226af18ce59e0b82f609b5"/>
    <w:p>
      <w:pPr>
        <w:pStyle w:val="berschrift3"/>
      </w:pPr>
      <w:r>
        <w:t xml:space="preserve">Radiometric and Atmospheric Corrections</w:t>
      </w:r>
    </w:p>
    <w:p>
      <w:pPr>
        <w:pStyle w:val="FirstParagraph"/>
      </w:pPr>
      <w:r>
        <w:t xml:space="preserve">No examples provided</w:t>
      </w:r>
    </w:p>
    <w:bookmarkEnd w:id="198"/>
    <w:bookmarkStart w:id="199" w:name="geometric-corrections-1"/>
    <w:p>
      <w:pPr>
        <w:pStyle w:val="berschrift3"/>
      </w:pPr>
      <w:r>
        <w:t xml:space="preserve">Geometric Corrections</w:t>
      </w:r>
    </w:p>
    <w:p>
      <w:pPr>
        <w:pStyle w:val="FirstParagraph"/>
      </w:pPr>
      <w:r>
        <w:t xml:space="preserve">No examples provided</w:t>
      </w:r>
    </w:p>
    <w:bookmarkEnd w:id="199"/>
    <w:bookmarkEnd w:id="200"/>
    <w:bookmarkEnd w:id="20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2026-05-29T09:05:25Z</dcterms:created>
  <dcterms:modified xsi:type="dcterms:W3CDTF">2026-05-29T09:05:25Z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