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41.png" ContentType="image/png"/>
  <Override PartName="/word/media/rId345.png" ContentType="image/png"/>
  <Override PartName="/word/media/rId349.png" ContentType="image/png"/>
  <Override PartName="/word/media/rId325.jpg" ContentType="image/jpeg"/>
  <Override PartName="/word/media/rId329.jpg" ContentType="image/jpeg"/>
  <Override PartName="/word/media/rId333.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55"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22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5"/>
    <w:bookmarkStart w:id="176"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7"/>
    <w:bookmarkStart w:id="188"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91"/>
    <w:bookmarkStart w:id="192"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9"/>
    <w:bookmarkStart w:id="200"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200"/>
    <w:bookmarkEnd w:id="201"/>
    <w:bookmarkStart w:id="205"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3"/>
    <w:bookmarkStart w:id="204"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4"/>
    <w:bookmarkEnd w:id="205"/>
    <w:bookmarkStart w:id="209"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7"/>
    <w:bookmarkStart w:id="208"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8"/>
    <w:bookmarkEnd w:id="209"/>
    <w:bookmarkStart w:id="213"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11"/>
    <w:bookmarkStart w:id="212"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12"/>
    <w:bookmarkEnd w:id="213"/>
    <w:bookmarkStart w:id="217"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5"/>
    <w:bookmarkStart w:id="216"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6"/>
    <w:bookmarkEnd w:id="217"/>
    <w:bookmarkStart w:id="221"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9"/>
    <w:bookmarkStart w:id="220"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20"/>
    <w:bookmarkEnd w:id="221"/>
    <w:bookmarkEnd w:id="222"/>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All files are provided using cloud-optimized file formats.</w:t>
      </w:r>
    </w:p>
    <w:bookmarkEnd w:id="224"/>
    <w:bookmarkStart w:id="225"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7"/>
    <w:bookmarkStart w:id="228" w:name="goal-requirements-46"/>
    <w:p>
      <w:pPr>
        <w:pStyle w:val="berschrift5"/>
      </w:pPr>
      <w:r>
        <w:t xml:space="preserve">Goal requirements:</w:t>
      </w:r>
    </w:p>
    <w:p>
      <w:pPr>
        <w:pStyle w:val="FirstParagraph"/>
      </w:pPr>
      <w:r>
        <w:t xml:space="preserve">As threshold.</w:t>
      </w:r>
      <w:r>
        <w:t xml:space="preserve"> </w:t>
      </w:r>
    </w:p>
    <w:bookmarkEnd w:id="228"/>
    <w:bookmarkStart w:id="229"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7"/>
    <w:bookmarkEnd w:id="238"/>
    <w:bookmarkStart w:id="242"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40"/>
    <w:bookmarkStart w:id="241"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52"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52"/>
    <w:bookmarkStart w:id="253"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3"/>
    <w:bookmarkStart w:id="254"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61"/>
    <w:bookmarkStart w:id="262"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80"/>
    <w:bookmarkEnd w:id="281"/>
    <w:bookmarkStart w:id="300" w:name="references"/>
    <w:p>
      <w:pPr>
        <w:pStyle w:val="berschrift2"/>
      </w:pPr>
      <w:r>
        <w:t xml:space="preserve">References</w:t>
      </w:r>
    </w:p>
    <w:bookmarkStart w:id="299" w:name="refs"/>
    <w:bookmarkStart w:id="28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2"/>
    <w:bookmarkStart w:id="28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3">
        <w:r>
          <w:rPr>
            <w:rStyle w:val="Hyperlink"/>
          </w:rPr>
          <w:t xml:space="preserve">https://doi.org/10.1109/TGRS.2008.2002881</w:t>
        </w:r>
      </w:hyperlink>
      <w:r>
        <w:t xml:space="preserve">.</w:t>
      </w:r>
    </w:p>
    <w:bookmarkEnd w:id="284"/>
    <w:bookmarkStart w:id="28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5">
        <w:r>
          <w:rPr>
            <w:rStyle w:val="Hyperlink"/>
          </w:rPr>
          <w:t xml:space="preserve">https://doi.org/10.1029/2011JE003986</w:t>
        </w:r>
      </w:hyperlink>
      <w:r>
        <w:t xml:space="preserve">.</w:t>
      </w:r>
    </w:p>
    <w:bookmarkEnd w:id="286"/>
    <w:bookmarkStart w:id="28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7">
        <w:r>
          <w:rPr>
            <w:rStyle w:val="Hyperlink"/>
          </w:rPr>
          <w:t xml:space="preserve">https://doi.org/10.1109/TGRS.2022.3147472</w:t>
        </w:r>
      </w:hyperlink>
      <w:r>
        <w:t xml:space="preserve">.</w:t>
      </w:r>
    </w:p>
    <w:bookmarkEnd w:id="288"/>
    <w:bookmarkStart w:id="29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9">
        <w:r>
          <w:rPr>
            <w:rStyle w:val="Hyperlink"/>
          </w:rPr>
          <w:t xml:space="preserve">https://doi.org/10.1109/TGRS.2011.2120616</w:t>
        </w:r>
      </w:hyperlink>
      <w:r>
        <w:t xml:space="preserve">.</w:t>
      </w:r>
    </w:p>
    <w:bookmarkEnd w:id="290"/>
    <w:bookmarkStart w:id="29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91">
        <w:r>
          <w:rPr>
            <w:rStyle w:val="Hyperlink"/>
          </w:rPr>
          <w:t xml:space="preserve">https://doi.org/10.1109/TGRS.2010.2099124</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54" w:name="annexes"/>
    <w:p>
      <w:pPr>
        <w:pStyle w:val="berschrift2"/>
      </w:pPr>
      <w:r>
        <w:t xml:space="preserve">Annexes</w:t>
      </w:r>
    </w:p>
    <w:bookmarkStart w:id="30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2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1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16"/>
    </w:p>
    <w:p>
      <w:pPr>
        <w:pStyle w:val="FirstParagraph"/>
      </w:pPr>
      <w:bookmarkStart w:id="31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7"/>
    </w:p>
    <w:p>
      <w:pPr>
        <w:pStyle w:val="FirstParagraph"/>
      </w:pPr>
      <w:bookmarkStart w:id="31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2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20"/>
    </w:p>
    <w:bookmarkEnd w:id="321"/>
    <w:bookmarkStart w:id="353"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22"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18</m:t>
          </m:r>
          <m:r>
            <m:rPr>
              <m:sty m:val="p"/>
            </m:rPr>
            <m:t>)</m:t>
          </m:r>
        </m:oMath>
      </m:oMathPara>
      <w:bookmarkEnd w:id="322"/>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3"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19</m:t>
          </m:r>
          <m:r>
            <m:rPr>
              <m:sty m:val="p"/>
            </m:rPr>
            <m:t>)</m:t>
          </m:r>
        </m:oMath>
      </m:oMathPara>
      <w:bookmarkEnd w:id="323"/>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4"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20</m:t>
          </m:r>
          <m:r>
            <m:rPr>
              <m:sty m:val="p"/>
            </m:rPr>
            <m:t>)</m:t>
          </m:r>
        </m:oMath>
      </m:oMathPara>
      <w:bookmarkEnd w:id="324"/>
    </w:p>
    <w:p>
      <w:pPr>
        <w:pStyle w:val="FirstParagraph"/>
      </w:pPr>
      <w:r>
        <w:t xml:space="preserve">The following figures show Sentinel-1 GSLC product examples over Death Valley National Park, California, US:</w:t>
      </w:r>
    </w:p>
    <w:bookmarkStart w:id="328" w:name="fig:sar-gslc-example-fig1a"/>
    <w:p>
      <w:pPr>
        <w:pStyle w:val="CaptionedFigure"/>
      </w:pPr>
      <w:r>
        <w:drawing>
          <wp:inline>
            <wp:extent cx="3419475" cy="1743075"/>
            <wp:effectExtent b="0" l="0" r="0" t="0"/>
            <wp:docPr descr="Figure 1: GSLC1: Intensity data of the first GSLC product (2017-05-27)" title="" id="326" name="Picture"/>
            <a:graphic>
              <a:graphicData uri="http://schemas.openxmlformats.org/drawingml/2006/picture">
                <pic:pic>
                  <pic:nvPicPr>
                    <pic:cNvPr descr="assets/sar-gslc-example/S1-GSLC1.jpeg" id="327" name="Picture"/>
                    <pic:cNvPicPr>
                      <a:picLocks noChangeArrowheads="1" noChangeAspect="1"/>
                    </pic:cNvPicPr>
                  </pic:nvPicPr>
                  <pic:blipFill>
                    <a:blip r:embed="rId325"/>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8"/>
    <w:bookmarkStart w:id="332" w:name="fig:sar-gslc-example-fig1b"/>
    <w:p>
      <w:pPr>
        <w:pStyle w:val="CaptionedFigure"/>
      </w:pPr>
      <w:r>
        <w:drawing>
          <wp:inline>
            <wp:extent cx="3419475" cy="1666875"/>
            <wp:effectExtent b="0" l="0" r="0" t="0"/>
            <wp:docPr descr="Figure 2: GSLC2: Intensity data of the second GSLC product (2017-06-08)" title="" id="330" name="Picture"/>
            <a:graphic>
              <a:graphicData uri="http://schemas.openxmlformats.org/drawingml/2006/picture">
                <pic:pic>
                  <pic:nvPicPr>
                    <pic:cNvPr descr="assets/sar-gslc-example/S1-GSLC2.jpeg" id="331" name="Picture"/>
                    <pic:cNvPicPr>
                      <a:picLocks noChangeArrowheads="1" noChangeAspect="1"/>
                    </pic:cNvPicPr>
                  </pic:nvPicPr>
                  <pic:blipFill>
                    <a:blip r:embed="rId329"/>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32"/>
    <w:bookmarkStart w:id="336" w:name="fig:sar-gslc-example-fig1c"/>
    <w:p>
      <w:pPr>
        <w:pStyle w:val="CaptionedFigure"/>
      </w:pPr>
      <w:r>
        <w:drawing>
          <wp:inline>
            <wp:extent cx="3810000" cy="2540000"/>
            <wp:effectExtent b="0" l="0" r="0" t="0"/>
            <wp:docPr descr="Figure 3: InSAR coherence map generated directly from Figure 1 and Figure 2" title="" id="334" name="Picture"/>
            <a:graphic>
              <a:graphicData uri="http://schemas.openxmlformats.org/drawingml/2006/picture">
                <pic:pic>
                  <pic:nvPicPr>
                    <pic:cNvPr descr="assets/sar-gslc-example/S1-InSAR-coherence.png" id="335" name="Picture"/>
                    <pic:cNvPicPr>
                      <a:picLocks noChangeArrowheads="1" noChangeAspect="1"/>
                    </pic:cNvPicPr>
                  </pic:nvPicPr>
                  <pic:blipFill>
                    <a:blip r:embed="rId3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6"/>
    <w:bookmarkStart w:id="340" w:name="fig:sar-gslc-example-fig1d"/>
    <w:p>
      <w:pPr>
        <w:pStyle w:val="CaptionedFigure"/>
      </w:pPr>
      <w:r>
        <w:drawing>
          <wp:inline>
            <wp:extent cx="3810000" cy="2540000"/>
            <wp:effectExtent b="0" l="0" r="0" t="0"/>
            <wp:docPr descr="Figure 4: InSAR differential phase map generated directly from Figure 1 and Figure 2" title="" id="338" name="Picture"/>
            <a:graphic>
              <a:graphicData uri="http://schemas.openxmlformats.org/drawingml/2006/picture">
                <pic:pic>
                  <pic:nvPicPr>
                    <pic:cNvPr descr="assets/sar-gslc-example/S1-InSAR-differential-phase.png" id="339" name="Picture"/>
                    <pic:cNvPicPr>
                      <a:picLocks noChangeArrowheads="1" noChangeAspect="1"/>
                    </pic:cNvPicPr>
                  </pic:nvPicPr>
                  <pic:blipFill>
                    <a:blip r:embed="rId3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40"/>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4" w:name="fig:sar-gslc-example-fig2a"/>
    <w:p>
      <w:pPr>
        <w:pStyle w:val="CaptionedFigure"/>
      </w:pPr>
      <w:r>
        <w:drawing>
          <wp:inline>
            <wp:extent cx="3810000" cy="2540000"/>
            <wp:effectExtent b="0" l="0" r="0" t="0"/>
            <wp:docPr descr="Figure 5: x unit component" title="" id="342" name="Picture"/>
            <a:graphic>
              <a:graphicData uri="http://schemas.openxmlformats.org/drawingml/2006/picture">
                <pic:pic>
                  <pic:nvPicPr>
                    <pic:cNvPr descr="assets/sar-gslc-example/S1-GSLC-x-component.png" id="343" name="Picture"/>
                    <pic:cNvPicPr>
                      <a:picLocks noChangeArrowheads="1" noChangeAspect="1"/>
                    </pic:cNvPicPr>
                  </pic:nvPicPr>
                  <pic:blipFill>
                    <a:blip r:embed="rId3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4"/>
    <w:bookmarkStart w:id="348" w:name="fig:sar-gslc-example-fig2b"/>
    <w:p>
      <w:pPr>
        <w:pStyle w:val="CaptionedFigure"/>
      </w:pPr>
      <w:r>
        <w:drawing>
          <wp:inline>
            <wp:extent cx="3810000" cy="2540000"/>
            <wp:effectExtent b="0" l="0" r="0" t="0"/>
            <wp:docPr descr="Figure 6: y unit component" title="" id="346" name="Picture"/>
            <a:graphic>
              <a:graphicData uri="http://schemas.openxmlformats.org/drawingml/2006/picture">
                <pic:pic>
                  <pic:nvPicPr>
                    <pic:cNvPr descr="assets/sar-gslc-example/S1-GSLC-y-component.png" id="347" name="Picture"/>
                    <pic:cNvPicPr>
                      <a:picLocks noChangeArrowheads="1" noChangeAspect="1"/>
                    </pic:cNvPicPr>
                  </pic:nvPicPr>
                  <pic:blipFill>
                    <a:blip r:embed="rId3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8"/>
    <w:bookmarkStart w:id="352" w:name="fig:sar-gslc-example-fig2c"/>
    <w:p>
      <w:pPr>
        <w:pStyle w:val="CaptionedFigure"/>
      </w:pPr>
      <w:r>
        <w:drawing>
          <wp:inline>
            <wp:extent cx="3810000" cy="2540000"/>
            <wp:effectExtent b="0" l="0" r="0" t="0"/>
            <wp:docPr descr="Figure 7: z unit component" title="" id="350" name="Picture"/>
            <a:graphic>
              <a:graphicData uri="http://schemas.openxmlformats.org/drawingml/2006/picture">
                <pic:pic>
                  <pic:nvPicPr>
                    <pic:cNvPr descr="assets/sar-gslc-example/S1-GSLC-z-component.png" id="351" name="Picture"/>
                    <pic:cNvPicPr>
                      <a:picLocks noChangeArrowheads="1" noChangeAspect="1"/>
                    </pic:cNvPicPr>
                  </pic:nvPicPr>
                  <pic:blipFill>
                    <a:blip r:embed="rId3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52"/>
    <w:bookmarkEnd w:id="353"/>
    <w:bookmarkEnd w:id="354"/>
    <w:bookmarkEnd w:id="35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41" Target="media/rId341.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25" Target="media/rId325.jpg" /><Relationship Type="http://schemas.openxmlformats.org/officeDocument/2006/relationships/image" Id="rId329" Target="media/rId329.jpg" /><Relationship Type="http://schemas.openxmlformats.org/officeDocument/2006/relationships/image" Id="rId333" Target="media/rId333.png" /><Relationship Type="http://schemas.openxmlformats.org/officeDocument/2006/relationships/image" Id="rId337" Target="media/rId337.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2026-06-26T18:37:04Z</dcterms:created>
  <dcterms:modified xsi:type="dcterms:W3CDTF">2026-06-26T18:37:04Z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