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09">
      <w:pPr>
        <w:pStyle w:val="Heading2"/>
        <w:rPr/>
      </w:pPr>
      <w:bookmarkStart w:colFirst="0" w:colLast="0" w:name="_mvzqqrguspfg" w:id="40"/>
      <w:bookmarkEnd w:id="40"/>
      <w:r w:rsidDel="00000000" w:rsidR="00000000" w:rsidRPr="00000000">
        <w:rPr>
          <w:rtl w:val="0"/>
        </w:rPr>
        <w:t xml:space="preserve">Appendix B: Additional Teaching Vignettes</w:t>
      </w:r>
    </w:p>
    <w:p w:rsidR="00000000" w:rsidDel="00000000" w:rsidP="00000000" w:rsidRDefault="00000000" w:rsidRPr="00000000" w14:paraId="0000020A">
      <w:pPr>
        <w:pStyle w:val="Heading3"/>
        <w:rPr/>
      </w:pPr>
      <w:bookmarkStart w:colFirst="0" w:colLast="0" w:name="_bxe4iutb8b2v" w:id="41"/>
      <w:bookmarkEnd w:id="41"/>
      <w:r w:rsidDel="00000000" w:rsidR="00000000" w:rsidRPr="00000000">
        <w:rPr>
          <w:rtl w:val="0"/>
        </w:rPr>
        <w:t xml:space="preserve">B.1 Structured vs Semi-Structured Data: Two JSON Objects</w:t>
      </w:r>
    </w:p>
    <w:p w:rsidR="00000000" w:rsidDel="00000000" w:rsidP="00000000" w:rsidRDefault="00000000" w:rsidRPr="00000000" w14:paraId="0000020B">
      <w:pPr>
        <w:rPr/>
      </w:pPr>
      <w:r w:rsidDel="00000000" w:rsidR="00000000" w:rsidRPr="00000000">
        <w:rPr>
          <w:rtl w:val="0"/>
        </w:rPr>
        <w:t xml:space="preserve">// Object A: Simple, flat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"asset_id": "A12",</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"location": "Level 3",</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"sensor_data": { "temperature": 22.1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Object B: Nested, with history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"asset_id": "A13",</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"location": { "building": "B1", "floor": 4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"maintenance_history":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{"date": "2026-01-10", "action": "inspection"},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{"date": "2026-02-05", "action": "repair"}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Both objects are valid JSON, but they do not follow a single fixed table structure. This is why JSON is classified as semi-structured: it has an organising schema (key-value pairs with nesting) but allows flexible content within that structure. An AI pipeline expecting a flat table will fail on Object B without preprocessing. This vignette supports the structured vs. semi-structured discussion in Section 1.2.1 of the main chapter.</w:t>
      </w:r>
    </w:p>
    <w:p w:rsidR="00000000" w:rsidDel="00000000" w:rsidP="00000000" w:rsidRDefault="00000000" w:rsidRPr="00000000" w14:paraId="0000022A">
      <w:pPr>
        <w:pStyle w:val="Heading3"/>
        <w:rPr/>
      </w:pPr>
      <w:bookmarkStart w:colFirst="0" w:colLast="0" w:name="_9zicherprzlj" w:id="42"/>
      <w:bookmarkEnd w:id="42"/>
      <w:r w:rsidDel="00000000" w:rsidR="00000000" w:rsidRPr="00000000">
        <w:rPr>
          <w:rtl w:val="0"/>
        </w:rPr>
        <w:t xml:space="preserve">B.2 COBie Naming Inconsistency at Handover</w:t>
      </w:r>
    </w:p>
    <w:p w:rsidR="00000000" w:rsidDel="00000000" w:rsidP="00000000" w:rsidRDefault="00000000" w:rsidRPr="00000000" w14:paraId="0000022B">
      <w:pPr>
        <w:rPr/>
      </w:pPr>
      <w:r w:rsidDel="00000000" w:rsidR="00000000" w:rsidRPr="00000000">
        <w:rPr>
          <w:rtl w:val="0"/>
        </w:rPr>
        <w:t xml:space="preserve">BIM name:     AHU_3F_West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COBie name:   AirHandlingUnit-03</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Manual label: AHU-3</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Three systems refer to the same physical air handling unit using three different identifiers. Without a canonical identifier linking all three, an AI model trained on COBie data cannot connect to the BIM geometry, and a facility manager searching the maintenance system cannot find the correct record. This is the canonical identifier problem described in Section 5.1 (Criteria and Dimensions for Data Suitable for AI). This vignette also illustrates the naming inconsistency problem discussed in Section 2.5 of the main chapter and is directly relevant to assessment question 2.</w:t>
      </w:r>
    </w:p>
    <w:p w:rsidR="00000000" w:rsidDel="00000000" w:rsidP="00000000" w:rsidRDefault="00000000" w:rsidRPr="00000000" w14:paraId="00000232">
      <w:pPr>
        <w:pStyle w:val="Heading3"/>
        <w:rPr/>
      </w:pPr>
      <w:bookmarkStart w:colFirst="0" w:colLast="0" w:name="_yspqdssnxpgs" w:id="43"/>
      <w:bookmarkEnd w:id="43"/>
      <w:r w:rsidDel="00000000" w:rsidR="00000000" w:rsidRPr="00000000">
        <w:rPr>
          <w:rtl w:val="0"/>
        </w:rPr>
        <w:t xml:space="preserve">B.3 Construction NLP: Synonymy, Polysemy, and Legal Sensitivity</w:t>
      </w:r>
    </w:p>
    <w:p w:rsidR="00000000" w:rsidDel="00000000" w:rsidP="00000000" w:rsidRDefault="00000000" w:rsidRPr="00000000" w14:paraId="00000233">
      <w:pPr>
        <w:rPr/>
      </w:pPr>
      <w:r w:rsidDel="00000000" w:rsidR="00000000" w:rsidRPr="00000000">
        <w:rPr>
          <w:b w:val="1"/>
          <w:bCs w:val="1"/>
          <w:rtl w:val="0"/>
        </w:rPr>
        <w:t xml:space="preserve">Synonymy</w:t>
      </w:r>
      <w:r w:rsidDel="00000000" w:rsidR="00000000" w:rsidRPr="00000000">
        <w:rPr>
          <w:rtl w:val="0"/>
        </w:rPr>
        <w:t xml:space="preserve"> (different words, same concept): subcontractor / trade contractor / specialist contractor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Polysemy</w:t>
      </w:r>
      <w:r w:rsidDel="00000000" w:rsidR="00000000" w:rsidRPr="00000000">
        <w:rPr>
          <w:rFonts w:ascii="Arial Unicode MS" w:cs="Arial Unicode MS" w:eastAsia="Arial Unicode MS" w:hAnsi="Arial Unicode MS"/>
          <w:rtl w:val="0"/>
        </w:rPr>
        <w:t xml:space="preserve"> (same word, different meanings): "claim" → legal claim for compensation / insurance claim / contractor claim for extension of time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Legal sensitivity</w:t>
      </w:r>
      <w:r w:rsidDel="00000000" w:rsidR="00000000" w:rsidRPr="00000000">
        <w:rPr>
          <w:rtl w:val="0"/>
        </w:rPr>
        <w:t xml:space="preserve"> (small words, large consequences): "shall" (mandatory obligation) / "should" (recommendation) / "may" (permission)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These linguistic features explain why general-purpose NLP models require domain-specific fine-tuning or RAG-based grounding to perform reliably on construction text. This vignette expands the unstructured text challenges discussed in Section 3.2 of the main chapter.</w:t>
      </w:r>
    </w:p>
    <w:p w:rsidR="00000000" w:rsidDel="00000000" w:rsidP="00000000" w:rsidRDefault="00000000" w:rsidRPr="00000000" w14:paraId="0000023A">
      <w:pPr>
        <w:pStyle w:val="Heading3"/>
        <w:rPr/>
      </w:pPr>
      <w:bookmarkStart w:colFirst="0" w:colLast="0" w:name="_mazlpus75gk8" w:id="44"/>
      <w:bookmarkEnd w:id="44"/>
      <w:r w:rsidDel="00000000" w:rsidR="00000000" w:rsidRPr="00000000">
        <w:rPr>
          <w:rtl w:val="0"/>
        </w:rPr>
        <w:t xml:space="preserve">B.4 Event Logging as an AI Multiplier</w:t>
      </w:r>
    </w:p>
    <w:p w:rsidR="00000000" w:rsidDel="00000000" w:rsidP="00000000" w:rsidRDefault="00000000" w:rsidRPr="00000000" w14:paraId="0000023B">
      <w:pPr>
        <w:rPr/>
      </w:pPr>
      <w:r w:rsidDel="00000000" w:rsidR="00000000" w:rsidRPr="00000000">
        <w:rPr>
          <w:rtl w:val="0"/>
        </w:rPr>
        <w:t xml:space="preserve">A simple structured event log with consistent fields transforms "project exhaust" into queryable operational intelligence: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timestamp | actor | event_type | object_affected | decision_outcome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2026-03-15 | Site Engineer | Design Change | Foundation Type B | Approved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2026-03-16 | QA Manager | Inspection | Concrete Pour L3 | Failed — rebar spacing</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2026-03-17 | Project Manager | Schedule Update | Milestone M4 | Delayed 5 days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When this log is maintained consistently across projects, cross-project learning becomes possible: "Projects where design changes occur after week 20 tend to experience cost overruns." Without the log, this pattern remains invisible. This vignette supports the event-logging concept highlighted in the conclusion of the main chapter.</w:t>
      </w:r>
    </w:p>
    <w:p w14:paraId="B5HEAD01" w14:textId="B5HEAD02" w:rsidR="00C77C17" w:rsidRDefault="00C77C17">
      <w:pPr>
        <w:pStyle w:val="Heading3"/>
        <w:rPr/>
      </w:pPr>
      <w:r>
        <w:t>B.5 Multimodal Image-Text Alignment</w:t>
      </w:r>
    </w:p>
    <w:p w14:paraId="B5BODY01" w14:textId="B5BODY02" w:rsidR="00C77C17" w:rsidRDefault="00C77C17">
      <w:r>
        <w:t xml:space="preserve">Construction projects increasingly pair visual media (photographs, drone imagery, thermal scans) with structured annotations. The following JSON payload illustrates how a single site defect image can carry machine-readable spatial, semantic, and compliance metadata:</w:t>
      </w:r>
    </w:p>
    <w:p w14:paraId="B5CODE01" w14:textId="B5CODE02" w:rsidR="00C77C17" w:rsidRDefault="00C77C17">
      <w:r>
        <w:rPr>
          <w:rFonts w:ascii="Courier New" w:hAnsi="Courier New" w:cs="Courier New"/>
          <w:sz w:val="18"/>
          <w:szCs w:val="18"/>
        </w:rPr>
        <w:t xml:space="preserve">{</w:t>
      </w:r>
    </w:p>
    <w:p w14:paraId="B5CODE03" w14:textId="B5CODE04" w:rsidR="00C77C17" w:rsidRDefault="00C77C17">
      <w:r>
        <w:rPr>
          <w:rFonts w:ascii="Courier New" w:hAnsi="Courier New" w:cs="Courier New"/>
          <w:sz w:val="18"/>
          <w:szCs w:val="18"/>
        </w:rPr>
        <w:t xml:space="preserve">  "image_id": "IMG_9021_REBAR.JPG",</w:t>
      </w:r>
    </w:p>
    <w:p w14:paraId="B5CODE05" w14:textId="B5CODE06" w:rsidR="00C77C17" w:rsidRDefault="00C77C17">
      <w:r>
        <w:rPr>
          <w:rFonts w:ascii="Courier New" w:hAnsi="Courier New" w:cs="Courier New"/>
          <w:sz w:val="18"/>
          <w:szCs w:val="18"/>
        </w:rPr>
        <w:t xml:space="preserve">  "capture_device": "DJI Mavic 3 Enterprise",</w:t>
      </w:r>
    </w:p>
    <w:p w14:paraId="B5CODE07" w14:textId="B5CODE08" w:rsidR="00C77C17" w:rsidRDefault="00C77C17">
      <w:r>
        <w:rPr>
          <w:rFonts w:ascii="Courier New" w:hAnsi="Courier New" w:cs="Courier New"/>
          <w:sz w:val="18"/>
          <w:szCs w:val="18"/>
        </w:rPr>
        <w:t xml:space="preserve">  "timestamp": "2026-04-12T09:47:31+10:00",</w:t>
      </w:r>
    </w:p>
    <w:p w14:paraId="B5CODE09" w14:textId="B5CODE10" w:rsidR="00C77C17" w:rsidRDefault="00C77C17">
      <w:r>
        <w:rPr>
          <w:rFonts w:ascii="Courier New" w:hAnsi="Courier New" w:cs="Courier New"/>
          <w:sz w:val="18"/>
          <w:szCs w:val="18"/>
        </w:rPr>
        <w:t xml:space="preserve">  "geolocation": {"lat": -37.8136, "lon": 144.9631, "CRS": "EPSG:4326"},</w:t>
      </w:r>
    </w:p>
    <w:p w14:paraId="B5CODE11" w14:textId="B5CODE12" w:rsidR="00C77C17" w:rsidRDefault="00C77C17">
      <w:r>
        <w:rPr>
          <w:rFonts w:ascii="Courier New" w:hAnsi="Courier New" w:cs="Courier New"/>
          <w:sz w:val="18"/>
          <w:szCs w:val="18"/>
        </w:rPr>
        <w:t xml:space="preserve">  "bounding_box_px": [45, 120, 300, 450],</w:t>
      </w:r>
    </w:p>
    <w:p w14:paraId="B5CODE13" w14:textId="B5CODE14" w:rsidR="00C77C17" w:rsidRDefault="00C77C17">
      <w:r>
        <w:rPr>
          <w:rFonts w:ascii="Courier New" w:hAnsi="Courier New" w:cs="Courier New"/>
          <w:sz w:val="18"/>
          <w:szCs w:val="18"/>
        </w:rPr>
        <w:t xml:space="preserve">  "defect_class": "rebar_spacing_violation",</w:t>
      </w:r>
    </w:p>
    <w:p w14:paraId="B5CODE15" w14:textId="B5CODE16" w:rsidR="00C77C17" w:rsidRDefault="00C77C17">
      <w:r>
        <w:rPr>
          <w:rFonts w:ascii="Courier New" w:hAnsi="Courier New" w:cs="Courier New"/>
          <w:sz w:val="18"/>
          <w:szCs w:val="18"/>
        </w:rPr>
        <w:t xml:space="preserve">  "annotation": "Deficient rebar spacing observed at column junction C-3; violates structural drawing sheet S-102, detail 4A.",</w:t>
      </w:r>
    </w:p>
    <w:p w14:paraId="B5CODE17" w14:textId="B5CODE18" w:rsidR="00C77C17" w:rsidRDefault="00C77C17">
      <w:r>
        <w:rPr>
          <w:rFonts w:ascii="Courier New" w:hAnsi="Courier New" w:cs="Courier New"/>
          <w:sz w:val="18"/>
          <w:szCs w:val="18"/>
        </w:rPr>
        <w:t xml:space="preserve">  "severity": "major",</w:t>
      </w:r>
    </w:p>
    <w:p w14:paraId="B5CODE19" w14:textId="B5CODE20" w:rsidR="00C77C17" w:rsidRDefault="00C77C17">
      <w:r>
        <w:rPr>
          <w:rFonts w:ascii="Courier New" w:hAnsi="Courier New" w:cs="Courier New"/>
          <w:sz w:val="18"/>
          <w:szCs w:val="18"/>
        </w:rPr>
        <w:t xml:space="preserve">  "linked_bim_element": "IfcColumn/GlobalId=2O2Fr$t4X7Zf8NOew3FL9r"</w:t>
      </w:r>
    </w:p>
    <w:p w14:paraId="B5CODE21" w14:textId="B5CODE22" w:rsidR="00C77C17" w:rsidRDefault="00C77C17">
      <w:r>
        <w:rPr>
          <w:rFonts w:ascii="Courier New" w:hAnsi="Courier New" w:cs="Courier New"/>
          <w:sz w:val="18"/>
          <w:szCs w:val="18"/>
        </w:rPr>
        <w:t xml:space="preserve">}</w:t>
      </w:r>
    </w:p>
    <w:p w14:paraId="B5COMM01" w14:textId="B5COMM02" w:rsidR="00C77C17" w:rsidRDefault="00C77C17">
      <w:r>
        <w:t xml:space="preserve">This payload fuses three data modalities: visual (the JPEG image and bounding box coordinates), textual (the natural-language annotation and defect classification), and spatial (geolocation and the linked BIM element via its IFC GlobalId). A single-modality pipeline processing only the image would detect a visual anomaly but could not link it to the specific structural element, the governing drawing sheet, or the severity classification. Multimodal integration enables AI systems to cross-validate defect detections against design intent and compliance requirements, substantially reducing false positives and accelerating remediation workflows. This vignette supports the multimodal data discussion in Section 1.2.2 of the main chapter.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