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248">
      <w:pPr>
        <w:pStyle w:val="Heading2"/>
        <w:rPr/>
      </w:pPr>
      <w:bookmarkStart w:colFirst="0" w:colLast="0" w:name="_m2n26syncn7d" w:id="45"/>
      <w:bookmarkEnd w:id="45"/>
      <w:r w:rsidDel="00000000" w:rsidR="00000000" w:rsidRPr="00000000">
        <w:rPr>
          <w:rtl w:val="0"/>
        </w:rPr>
        <w:t xml:space="preserve">Appendix C: Recommended Open Datasets for Teaching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 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buildingSMART IFC sample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BIM/IFC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CC BY 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Schema exploration, QC rules, property set validation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COBie V3 template + JSON 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Referential integrity, handover readiness metrics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BCF-XML sample packages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Issue/RFI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CC BY-ND 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NLP on issue text, BIM object linking via GUIDs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Building Data Genome Project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IoT time-series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CC BY 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595 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Anomaly detection, energy analytics, metadata joins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3DEP LAZ point clouds (USGS)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LiDAR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CRS issues, point cloud processing, change detection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E57 example data (e.g., ParkingLot.e57)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Point cloud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Boost Licence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268 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Memory constraints, attribute handling, format comparison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UAV construction images + captions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CV/multimodal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CC BY 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 detection, image-text alignment, annotation noise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PPE detection dataset (5 classes)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Safety 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CC BY 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Detection models, bias analysis, privacy-by-design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MSHA accident 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Safety/structured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480 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Incident classification, text mining, trend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Construction PM forms (CSV, 10K rows)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Course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 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cleaning, form classification, missing-data handling</w:t>
            </w:r>
          </w:p>
        </w:tc>
      </w:tr>
    </w:tbl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