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A5478" w14:textId="77777777" w:rsidR="00496FF3" w:rsidRDefault="00496FF3">
      <w:pPr>
        <w:pStyle w:val="Heading1"/>
      </w:pPr>
    </w:p>
    <w:p w14:paraId="21100839" w14:textId="77777777" w:rsidR="00496FF3" w:rsidRDefault="00496FF3">
      <w:pPr>
        <w:pStyle w:val="Heading1"/>
      </w:pPr>
    </w:p>
    <w:p w14:paraId="5E7793FC" w14:textId="77777777" w:rsidR="00496FF3" w:rsidRDefault="00496FF3">
      <w:pPr>
        <w:pStyle w:val="Heading1"/>
      </w:pPr>
    </w:p>
    <w:p w14:paraId="20AED635" w14:textId="77777777" w:rsidR="00496FF3" w:rsidRDefault="00496FF3">
      <w:pPr>
        <w:pStyle w:val="Heading1"/>
      </w:pPr>
    </w:p>
    <w:p w14:paraId="6C01D20C" w14:textId="77777777" w:rsidR="00496FF3" w:rsidRDefault="00496FF3">
      <w:pPr>
        <w:pStyle w:val="Heading1"/>
      </w:pPr>
    </w:p>
    <w:p w14:paraId="73FAB2CD" w14:textId="77777777" w:rsidR="00496FF3" w:rsidRDefault="00496FF3">
      <w:pPr>
        <w:pStyle w:val="Heading1"/>
      </w:pPr>
    </w:p>
    <w:p w14:paraId="673CDF30" w14:textId="77777777" w:rsidR="00496FF3" w:rsidRDefault="00496FF3">
      <w:pPr>
        <w:pStyle w:val="Heading1"/>
      </w:pPr>
    </w:p>
    <w:p w14:paraId="4C108439" w14:textId="77777777" w:rsidR="00496FF3" w:rsidRDefault="00496FF3">
      <w:pPr>
        <w:pStyle w:val="Heading1"/>
      </w:pPr>
    </w:p>
    <w:p w14:paraId="7C8C03E3" w14:textId="254B1279" w:rsidR="008230C7" w:rsidRDefault="00000000">
      <w:pPr>
        <w:pStyle w:val="Heading1"/>
      </w:pPr>
      <w:r>
        <w:t>1. Research Aim and Objectives</w:t>
      </w:r>
    </w:p>
    <w:p w14:paraId="227E06FD" w14:textId="77777777" w:rsidR="008230C7" w:rsidRDefault="00000000">
      <w:pPr>
        <w:pStyle w:val="Heading2"/>
      </w:pPr>
      <w:r>
        <w:t>1.1. Research Aim</w:t>
      </w:r>
    </w:p>
    <w:p w14:paraId="57DEE490" w14:textId="77777777" w:rsidR="008230C7" w:rsidRDefault="00000000">
      <w:pPr>
        <w:spacing w:after="160" w:line="276" w:lineRule="auto"/>
      </w:pPr>
      <w:r>
        <w:t xml:space="preserve">This study aims to develop and validate a computational governance intelligence platform for systematically mapping, querying, and critically evaluating the Australian regulatory ecosystem governing building deconstruction and material salvage. Specifically, it combines large language model (LLM)-driven information extraction with knowledge graph (KG) construction and retrieval-augmented generation (RAG) to transform an unstructured corpus of federal, state, and local policy documents into a structured, auditable, and </w:t>
      </w:r>
      <w:proofErr w:type="spellStart"/>
      <w:r>
        <w:t>queryable</w:t>
      </w:r>
      <w:proofErr w:type="spellEnd"/>
      <w:r>
        <w:t xml:space="preserve"> </w:t>
      </w:r>
      <w:r>
        <w:rPr>
          <w:b/>
          <w:bCs/>
        </w:rPr>
        <w:t>Governance Topography</w:t>
      </w:r>
      <w:r>
        <w:t>. The platform enables automated identification of legislative disconnects, jurisdictional fragmentation, and governance gaps that hinder the transition from conventional demolition to a circular built environment.</w:t>
      </w:r>
    </w:p>
    <w:p w14:paraId="1CF33B30" w14:textId="77777777" w:rsidR="008230C7" w:rsidRDefault="00000000">
      <w:pPr>
        <w:pStyle w:val="Heading2"/>
      </w:pPr>
      <w:r>
        <w:t>1.2. Research Objectives</w:t>
      </w:r>
    </w:p>
    <w:p w14:paraId="3A324FDE" w14:textId="77777777" w:rsidR="008230C7" w:rsidRDefault="00000000">
      <w:pPr>
        <w:spacing w:after="160" w:line="276" w:lineRule="auto"/>
      </w:pPr>
      <w:r>
        <w:rPr>
          <w:b/>
          <w:bCs/>
          <w:i/>
          <w:iCs/>
        </w:rPr>
        <w:t xml:space="preserve">Objective 1: Constructing a Multi-Stage Computational Pipeline for Regulatory Corpus Processing. </w:t>
      </w:r>
      <w:r>
        <w:t>To design, implement, and validate a reproducible six-stage computational pipeline that transforms heterogeneous government PDF documents (n=36) into a structured knowledge graph. This pipeline integrates multi-engine text extraction (layout-aware parsing, robust encoding resolution, and optical character recognition), semantic chunking with domain-specific keyword gating, high-dimensional vector retrieval, and LLM-based precision filtering to isolate regulatory clauses specific to structural disassembly, selective demolition, and material salvage from broader waste management narratives.</w:t>
      </w:r>
    </w:p>
    <w:p w14:paraId="372ED0AA" w14:textId="77777777" w:rsidR="008230C7" w:rsidRDefault="00000000">
      <w:pPr>
        <w:spacing w:after="160" w:line="276" w:lineRule="auto"/>
      </w:pPr>
      <w:r>
        <w:rPr>
          <w:b/>
          <w:bCs/>
          <w:i/>
          <w:iCs/>
        </w:rPr>
        <w:lastRenderedPageBreak/>
        <w:t xml:space="preserve">Objective 2: Developing an Objective-Aligned Knowledge Graph Schema for Deconstruction Governance. </w:t>
      </w:r>
      <w:r>
        <w:t xml:space="preserve">To define and populate a purpose-built knowledge graph schema comprising ten entity classes (Instrument, Authority, Jurisdiction, Requirement, Practice, </w:t>
      </w:r>
      <w:proofErr w:type="spellStart"/>
      <w:r>
        <w:t>MaterialAsset</w:t>
      </w:r>
      <w:proofErr w:type="spellEnd"/>
      <w:r>
        <w:t xml:space="preserve">, Stakeholder, Barrier, Enabler, </w:t>
      </w:r>
      <w:proofErr w:type="spellStart"/>
      <w:r>
        <w:t>OutcomeMetric</w:t>
      </w:r>
      <w:proofErr w:type="spellEnd"/>
      <w:r>
        <w:t>) and eleven governance-mechanism relation types that reconstruct “who governs what, where, and how.” This schema supports direct traceability from every extracted statement back to its source document, page number, and verbatim evidence excerpt, enabling end-to-end auditability.</w:t>
      </w:r>
    </w:p>
    <w:p w14:paraId="1A07DB82" w14:textId="77777777" w:rsidR="008230C7" w:rsidRDefault="00000000">
      <w:pPr>
        <w:spacing w:after="160" w:line="276" w:lineRule="auto"/>
      </w:pPr>
      <w:r>
        <w:rPr>
          <w:b/>
          <w:bCs/>
          <w:i/>
          <w:iCs/>
        </w:rPr>
        <w:t xml:space="preserve">Objective 3: Analysing Semantic and Definitional Gaps in Deconstruction Policy. </w:t>
      </w:r>
      <w:r>
        <w:t>To deploy the governance intelligence platform to critically examine the extent to which “deconstruction” and “salvage” are formally recognised as distinct regulatory activities within Australian policy. This involves quantifying the prevalence of generic “waste diversion” language (which encourages crushing and downcycling) versus specific mandates for “disassembly” and “component reuse,” and mapping the definitional boundaries across jurisdictions.</w:t>
      </w:r>
    </w:p>
    <w:p w14:paraId="3A7CC439" w14:textId="77777777" w:rsidR="008230C7" w:rsidRDefault="00000000">
      <w:pPr>
        <w:spacing w:after="160" w:line="276" w:lineRule="auto"/>
      </w:pPr>
      <w:r>
        <w:rPr>
          <w:b/>
          <w:bCs/>
          <w:i/>
          <w:iCs/>
        </w:rPr>
        <w:t xml:space="preserve">Objective 4: Mapping the Institutional Governance Network and Jurisdictional Fragmentation. </w:t>
      </w:r>
      <w:r>
        <w:t>To use structured graph traversal queries to map the ecosystem of institutional actors—including Environmental Protection Authorities (EPAs), sustainability bodies, and local planning authorities—and to characterise the structural relationships (or absence of coordination) between agencies responsible for waste minimisation and those responsible for building standards. This includes automated jurisdictional comparison across Australia’s three tiers of government.</w:t>
      </w:r>
    </w:p>
    <w:p w14:paraId="5F8088CF" w14:textId="77777777" w:rsidR="008230C7" w:rsidRDefault="00000000">
      <w:pPr>
        <w:spacing w:after="160" w:line="276" w:lineRule="auto"/>
      </w:pPr>
      <w:r>
        <w:rPr>
          <w:b/>
          <w:bCs/>
          <w:i/>
          <w:iCs/>
        </w:rPr>
        <w:t xml:space="preserve">Objective 5: Synthesising Governance Gaps and Regulatory Barriers Through Automated Gap Analysis. </w:t>
      </w:r>
      <w:r>
        <w:t>To systematically identify practice areas where documented barriers (conflicting permit requirements, risk-averse procurement policies, absence of certification pathways for reused materials) outweigh or entirely lack corresponding enabling instruments or policy support. The gap analysis classifies governance deficits by severity—distinguishing practices with zero institutional support from those with partial but insufficient coverage.</w:t>
      </w:r>
    </w:p>
    <w:p w14:paraId="610D5FB0" w14:textId="77777777" w:rsidR="008230C7" w:rsidRDefault="00000000">
      <w:pPr>
        <w:pStyle w:val="Heading2"/>
      </w:pPr>
      <w:r>
        <w:t>1.3. Expected Contribution</w:t>
      </w:r>
    </w:p>
    <w:p w14:paraId="591CD1C1" w14:textId="77777777" w:rsidR="008230C7" w:rsidRDefault="00000000">
      <w:pPr>
        <w:spacing w:after="160" w:line="276" w:lineRule="auto"/>
      </w:pPr>
      <w:r>
        <w:t xml:space="preserve">This research makes three distinct contributions. </w:t>
      </w:r>
      <w:r>
        <w:rPr>
          <w:b/>
          <w:bCs/>
        </w:rPr>
        <w:t>First</w:t>
      </w:r>
      <w:r>
        <w:t xml:space="preserve">, it provides the first computational regulatory analysis of </w:t>
      </w:r>
      <w:r>
        <w:rPr>
          <w:b/>
          <w:bCs/>
        </w:rPr>
        <w:t>deconstruction</w:t>
      </w:r>
      <w:r>
        <w:t xml:space="preserve"> as a specific subset of the circular economy in Australia, moving beyond broad “waste” narratives to offer a diagnostic assessment of specific legislative gaps. </w:t>
      </w:r>
      <w:r>
        <w:rPr>
          <w:b/>
          <w:bCs/>
        </w:rPr>
        <w:t>Second</w:t>
      </w:r>
      <w:r>
        <w:t xml:space="preserve">, it demonstrates a replicable methodology for transforming unstructured policy corpora into structured, </w:t>
      </w:r>
      <w:proofErr w:type="spellStart"/>
      <w:r>
        <w:t>queryable</w:t>
      </w:r>
      <w:proofErr w:type="spellEnd"/>
      <w:r>
        <w:t xml:space="preserve"> knowledge graphs using LLM-driven extraction with full evidence provenance—an approach transferable to other regulatory domains and jurisdictions. </w:t>
      </w:r>
      <w:r>
        <w:rPr>
          <w:b/>
          <w:bCs/>
        </w:rPr>
        <w:t>Third</w:t>
      </w:r>
      <w:r>
        <w:t>, it delivers an operational governance intelligence backend that combines graph traversal with retrieval-augmented generation, enabling policymakers and researchers to pose structured queries against the regulatory landscape and receive grounded, source-cited answers.</w:t>
      </w:r>
    </w:p>
    <w:p w14:paraId="41A7CBC1" w14:textId="77777777" w:rsidR="008230C7" w:rsidRDefault="00000000">
      <w:r>
        <w:br w:type="page"/>
      </w:r>
    </w:p>
    <w:p w14:paraId="5D408181" w14:textId="77777777" w:rsidR="008230C7" w:rsidRDefault="00000000">
      <w:pPr>
        <w:pStyle w:val="Heading1"/>
      </w:pPr>
      <w:r>
        <w:lastRenderedPageBreak/>
        <w:t>3. Research Methods and Design</w:t>
      </w:r>
    </w:p>
    <w:p w14:paraId="0EB51C44" w14:textId="77777777" w:rsidR="008230C7" w:rsidRDefault="00000000">
      <w:pPr>
        <w:spacing w:after="160" w:line="276" w:lineRule="auto"/>
      </w:pPr>
      <w:r>
        <w:t>To systematically analyse the fragmented regulatory landscape governing deconstruction and material salvage in Australia, this study employed a six-stage computational pipeline leveraging Large Language Models (LLMs), optical character recognition (OCR), vector-based semantic retrieval, and knowledge graph construction. Unlike traditional manual content analysis, which is limited by volume and subject to analyst fatigue, this approach enabled rigorous processing of a heterogeneous corpus of unstructured PDF documents (n=36) sourced from federal, state, and local government agencies.</w:t>
      </w:r>
    </w:p>
    <w:p w14:paraId="550A0D7B" w14:textId="77777777" w:rsidR="008230C7" w:rsidRDefault="00000000">
      <w:pPr>
        <w:spacing w:after="160" w:line="276" w:lineRule="auto"/>
      </w:pPr>
      <w:r>
        <w:t xml:space="preserve">The methodology was designed to isolate high-relevance regulatory clauses specific to </w:t>
      </w:r>
      <w:r>
        <w:rPr>
          <w:i/>
          <w:iCs/>
        </w:rPr>
        <w:t>structural disassembly</w:t>
      </w:r>
      <w:r>
        <w:t xml:space="preserve"> and </w:t>
      </w:r>
      <w:r>
        <w:rPr>
          <w:i/>
          <w:iCs/>
        </w:rPr>
        <w:t>salvage</w:t>
      </w:r>
      <w:r>
        <w:t xml:space="preserve"> from broader waste management narratives, and to reconstruct the governance relationships embedded within them as a structured, </w:t>
      </w:r>
      <w:proofErr w:type="spellStart"/>
      <w:r>
        <w:t>queryable</w:t>
      </w:r>
      <w:proofErr w:type="spellEnd"/>
      <w:r>
        <w:t xml:space="preserve"> knowledge graph. The pipeline followed a six-stage architecture: (1) Multi-Engine Text Extraction, (2) Semantic Segmentation and Keyword Gating, (3) High-Dimensional Vector Retrieval, (4) LLM-Based Precision Filtering, (5) Knowledge Graph Extraction and Cleaning, and (6) Governance Intelligence Backend Assembly. The complete pipeline was implemented in Google </w:t>
      </w:r>
      <w:proofErr w:type="spellStart"/>
      <w:r>
        <w:t>Colaboratory</w:t>
      </w:r>
      <w:proofErr w:type="spellEnd"/>
      <w:r>
        <w:t xml:space="preserve"> as a sequence of six reproducible </w:t>
      </w:r>
      <w:proofErr w:type="spellStart"/>
      <w:r>
        <w:t>Jupyter</w:t>
      </w:r>
      <w:proofErr w:type="spellEnd"/>
      <w:r>
        <w:t xml:space="preserve"> notebooks.</w:t>
      </w:r>
    </w:p>
    <w:p w14:paraId="7DB40B09" w14:textId="77777777" w:rsidR="008230C7" w:rsidRDefault="00000000">
      <w:pPr>
        <w:spacing w:before="200" w:after="200"/>
        <w:jc w:val="center"/>
      </w:pPr>
      <w:r>
        <w:rPr>
          <w:b/>
          <w:bCs/>
          <w:color w:val="094183"/>
          <w:sz w:val="22"/>
          <w:szCs w:val="22"/>
        </w:rPr>
        <w:t>[Figure 1</w:t>
      </w:r>
      <w:proofErr w:type="gramStart"/>
      <w:r>
        <w:rPr>
          <w:b/>
          <w:bCs/>
          <w:color w:val="094183"/>
          <w:sz w:val="22"/>
          <w:szCs w:val="22"/>
        </w:rPr>
        <w:t>]</w:t>
      </w:r>
      <w:r>
        <w:rPr>
          <w:i/>
          <w:iCs/>
          <w:sz w:val="20"/>
          <w:szCs w:val="20"/>
        </w:rPr>
        <w:t xml:space="preserve">  System</w:t>
      </w:r>
      <w:proofErr w:type="gramEnd"/>
      <w:r>
        <w:rPr>
          <w:i/>
          <w:iCs/>
          <w:sz w:val="20"/>
          <w:szCs w:val="20"/>
        </w:rPr>
        <w:t xml:space="preserve"> architecture diagram showing the six-stage computational pipeline from corpus ingestion to governance intelligence backend.</w:t>
      </w:r>
    </w:p>
    <w:p w14:paraId="7F1852EC" w14:textId="77777777" w:rsidR="008230C7" w:rsidRDefault="00000000">
      <w:pPr>
        <w:pStyle w:val="Heading2"/>
      </w:pPr>
      <w:r>
        <w:t>3.1. Data Pre-processing and Multi-Engine Extraction (Stage 1)</w:t>
      </w:r>
    </w:p>
    <w:p w14:paraId="63323546" w14:textId="77777777" w:rsidR="008230C7" w:rsidRDefault="00000000">
      <w:pPr>
        <w:spacing w:after="160" w:line="276" w:lineRule="auto"/>
      </w:pPr>
      <w:r>
        <w:t xml:space="preserve">The primary challenge in analysing government policy documents is the inconsistency of file formats, which range from digital-native PDFs to scanned archival images. To address this, a </w:t>
      </w:r>
      <w:r>
        <w:rPr>
          <w:b/>
          <w:bCs/>
        </w:rPr>
        <w:t>Three-Tier Extraction Strategy</w:t>
      </w:r>
      <w:r>
        <w:t xml:space="preserve"> was architected to maximise text fidelity:</w:t>
      </w:r>
    </w:p>
    <w:p w14:paraId="18329CEB" w14:textId="77777777" w:rsidR="008230C7" w:rsidRDefault="00000000">
      <w:pPr>
        <w:spacing w:after="160" w:line="276" w:lineRule="auto"/>
      </w:pPr>
      <w:r>
        <w:rPr>
          <w:b/>
          <w:bCs/>
        </w:rPr>
        <w:t xml:space="preserve">Tier 1 (Layout-Aware Extraction): </w:t>
      </w:r>
      <w:r>
        <w:t xml:space="preserve">Documents were first processed using </w:t>
      </w:r>
      <w:proofErr w:type="spellStart"/>
      <w:r>
        <w:rPr>
          <w:rFonts w:ascii="Courier New" w:eastAsia="Courier New" w:hAnsi="Courier New" w:cs="Courier New"/>
          <w:sz w:val="20"/>
          <w:szCs w:val="20"/>
        </w:rPr>
        <w:t>pdfplumber</w:t>
      </w:r>
      <w:proofErr w:type="spellEnd"/>
      <w:r>
        <w:t>, which excels at extracting text while preserving the structure of data tables—critical for capturing waste levy schedules and diversion targets.</w:t>
      </w:r>
    </w:p>
    <w:p w14:paraId="68BA98B8" w14:textId="77777777" w:rsidR="008230C7" w:rsidRDefault="00000000">
      <w:pPr>
        <w:spacing w:after="160" w:line="276" w:lineRule="auto"/>
      </w:pPr>
      <w:r>
        <w:rPr>
          <w:b/>
          <w:bCs/>
        </w:rPr>
        <w:t xml:space="preserve">Tier 2 (Robust Parsing): </w:t>
      </w:r>
      <w:r>
        <w:t xml:space="preserve">If Tier 1 yielded insufficient text (&lt;50 characters per page), the system fell back to </w:t>
      </w:r>
      <w:proofErr w:type="spellStart"/>
      <w:r>
        <w:rPr>
          <w:rFonts w:ascii="Courier New" w:eastAsia="Courier New" w:hAnsi="Courier New" w:cs="Courier New"/>
          <w:sz w:val="20"/>
          <w:szCs w:val="20"/>
        </w:rPr>
        <w:t>PyMuPDF</w:t>
      </w:r>
      <w:proofErr w:type="spellEnd"/>
      <w:r>
        <w:t xml:space="preserve"> (Fitz), which utilises a different parsing engine capable of resolving complex encoding issues and embedded fonts.</w:t>
      </w:r>
    </w:p>
    <w:p w14:paraId="5981B145" w14:textId="77777777" w:rsidR="008230C7" w:rsidRDefault="00000000">
      <w:pPr>
        <w:spacing w:after="160" w:line="276" w:lineRule="auto"/>
      </w:pPr>
      <w:r>
        <w:rPr>
          <w:b/>
          <w:bCs/>
        </w:rPr>
        <w:t xml:space="preserve">Tier 3 (Optical Character Recognition): </w:t>
      </w:r>
      <w:r>
        <w:t xml:space="preserve">For pages identified as scanned images (where previous tiers failed), the pipeline triggered </w:t>
      </w:r>
      <w:r>
        <w:rPr>
          <w:rFonts w:ascii="Courier New" w:eastAsia="Courier New" w:hAnsi="Courier New" w:cs="Courier New"/>
          <w:sz w:val="20"/>
          <w:szCs w:val="20"/>
        </w:rPr>
        <w:t>Tesseract OCR</w:t>
      </w:r>
      <w:r>
        <w:t xml:space="preserve"> (via </w:t>
      </w:r>
      <w:r>
        <w:rPr>
          <w:rFonts w:ascii="Courier New" w:eastAsia="Courier New" w:hAnsi="Courier New" w:cs="Courier New"/>
          <w:sz w:val="20"/>
          <w:szCs w:val="20"/>
        </w:rPr>
        <w:t>pdf2image</w:t>
      </w:r>
      <w:r>
        <w:t>) to optically reconstruct text from the visual layer.</w:t>
      </w:r>
    </w:p>
    <w:p w14:paraId="5F7A8985" w14:textId="77777777" w:rsidR="008230C7" w:rsidRDefault="00000000">
      <w:pPr>
        <w:pStyle w:val="Heading2"/>
      </w:pPr>
      <w:r>
        <w:t>3.2. Semantic Segmentation and Keyword Gating (Stage 2)</w:t>
      </w:r>
    </w:p>
    <w:p w14:paraId="7AFA8AE8" w14:textId="77777777" w:rsidR="008230C7" w:rsidRDefault="00000000">
      <w:pPr>
        <w:spacing w:after="160" w:line="276" w:lineRule="auto"/>
      </w:pPr>
      <w:r>
        <w:t xml:space="preserve">To facilitate granular analysis, the extracted text was segmented into computational units using the </w:t>
      </w:r>
      <w:proofErr w:type="spellStart"/>
      <w:r>
        <w:rPr>
          <w:rFonts w:ascii="Courier New" w:eastAsia="Courier New" w:hAnsi="Courier New" w:cs="Courier New"/>
          <w:sz w:val="20"/>
          <w:szCs w:val="20"/>
        </w:rPr>
        <w:t>RecursiveCharacterTextSplitter</w:t>
      </w:r>
      <w:proofErr w:type="spellEnd"/>
      <w:r>
        <w:t xml:space="preserve"> from the </w:t>
      </w:r>
      <w:proofErr w:type="spellStart"/>
      <w:r>
        <w:t>LangChain</w:t>
      </w:r>
      <w:proofErr w:type="spellEnd"/>
      <w:r>
        <w:t xml:space="preserve"> framework.</w:t>
      </w:r>
    </w:p>
    <w:p w14:paraId="78AFCD14" w14:textId="77777777" w:rsidR="008230C7" w:rsidRDefault="00000000">
      <w:pPr>
        <w:spacing w:after="160" w:line="276" w:lineRule="auto"/>
      </w:pPr>
      <w:r>
        <w:rPr>
          <w:b/>
          <w:bCs/>
        </w:rPr>
        <w:t xml:space="preserve">Chunking Strategy: </w:t>
      </w:r>
      <w:r>
        <w:t xml:space="preserve">A chunk size of </w:t>
      </w:r>
      <w:r>
        <w:rPr>
          <w:b/>
          <w:bCs/>
        </w:rPr>
        <w:t>1,400 characters</w:t>
      </w:r>
      <w:r>
        <w:t xml:space="preserve"> with an overlap of </w:t>
      </w:r>
      <w:r>
        <w:rPr>
          <w:b/>
          <w:bCs/>
        </w:rPr>
        <w:t>200 characters</w:t>
      </w:r>
      <w:r>
        <w:t xml:space="preserve"> was employed. This larger window (compared to standard NLP tasks) was empirically </w:t>
      </w:r>
      <w:r>
        <w:lastRenderedPageBreak/>
        <w:t>selected to ensure legal definitions and qualification clauses remained intact within a single semantic unit.</w:t>
      </w:r>
    </w:p>
    <w:p w14:paraId="0B5B8090" w14:textId="77777777" w:rsidR="008230C7" w:rsidRDefault="00000000">
      <w:pPr>
        <w:spacing w:after="160" w:line="276" w:lineRule="auto"/>
      </w:pPr>
      <w:r>
        <w:rPr>
          <w:b/>
          <w:bCs/>
        </w:rPr>
        <w:t xml:space="preserve">Keyword Gating: </w:t>
      </w:r>
      <w:r>
        <w:t xml:space="preserve">To optimise computational efficiency and reduce false positives, a “Keyword Gate” was applied prior to vector embedding. Only chunks containing high-recall regex patterns (e.g., </w:t>
      </w:r>
      <w:r>
        <w:rPr>
          <w:rFonts w:ascii="Courier New" w:eastAsia="Courier New" w:hAnsi="Courier New" w:cs="Courier New"/>
          <w:sz w:val="20"/>
          <w:szCs w:val="20"/>
        </w:rPr>
        <w:t>\</w:t>
      </w:r>
      <w:proofErr w:type="spellStart"/>
      <w:r>
        <w:rPr>
          <w:rFonts w:ascii="Courier New" w:eastAsia="Courier New" w:hAnsi="Courier New" w:cs="Courier New"/>
          <w:sz w:val="20"/>
          <w:szCs w:val="20"/>
        </w:rPr>
        <w:t>bdeconstruct</w:t>
      </w:r>
      <w:proofErr w:type="spellEnd"/>
      <w:r>
        <w:rPr>
          <w:rFonts w:ascii="Courier New" w:eastAsia="Courier New" w:hAnsi="Courier New" w:cs="Courier New"/>
          <w:sz w:val="20"/>
          <w:szCs w:val="20"/>
        </w:rPr>
        <w:t>\b</w:t>
      </w:r>
      <w:r>
        <w:t xml:space="preserve">, </w:t>
      </w:r>
      <w:r>
        <w:rPr>
          <w:rFonts w:ascii="Courier New" w:eastAsia="Courier New" w:hAnsi="Courier New" w:cs="Courier New"/>
          <w:sz w:val="20"/>
          <w:szCs w:val="20"/>
        </w:rPr>
        <w:t>\</w:t>
      </w:r>
      <w:proofErr w:type="spellStart"/>
      <w:r>
        <w:rPr>
          <w:rFonts w:ascii="Courier New" w:eastAsia="Courier New" w:hAnsi="Courier New" w:cs="Courier New"/>
          <w:sz w:val="20"/>
          <w:szCs w:val="20"/>
        </w:rPr>
        <w:t>bsalvag</w:t>
      </w:r>
      <w:proofErr w:type="spellEnd"/>
      <w:r>
        <w:rPr>
          <w:rFonts w:ascii="Courier New" w:eastAsia="Courier New" w:hAnsi="Courier New" w:cs="Courier New"/>
          <w:sz w:val="20"/>
          <w:szCs w:val="20"/>
        </w:rPr>
        <w:t>\b</w:t>
      </w:r>
      <w:r>
        <w:t xml:space="preserve">, </w:t>
      </w:r>
      <w:r>
        <w:rPr>
          <w:rFonts w:ascii="Courier New" w:eastAsia="Courier New" w:hAnsi="Courier New" w:cs="Courier New"/>
          <w:sz w:val="20"/>
          <w:szCs w:val="20"/>
        </w:rPr>
        <w:t>\</w:t>
      </w:r>
      <w:proofErr w:type="spellStart"/>
      <w:r>
        <w:rPr>
          <w:rFonts w:ascii="Courier New" w:eastAsia="Courier New" w:hAnsi="Courier New" w:cs="Courier New"/>
          <w:sz w:val="20"/>
          <w:szCs w:val="20"/>
        </w:rPr>
        <w:t>bcircular</w:t>
      </w:r>
      <w:proofErr w:type="spellEnd"/>
      <w:r>
        <w:rPr>
          <w:rFonts w:ascii="Courier New" w:eastAsia="Courier New" w:hAnsi="Courier New" w:cs="Courier New"/>
          <w:sz w:val="20"/>
          <w:szCs w:val="20"/>
        </w:rPr>
        <w:t xml:space="preserve"> economy\b</w:t>
      </w:r>
      <w:r>
        <w:t xml:space="preserve">, </w:t>
      </w:r>
      <w:r>
        <w:rPr>
          <w:rFonts w:ascii="Courier New" w:eastAsia="Courier New" w:hAnsi="Courier New" w:cs="Courier New"/>
          <w:sz w:val="20"/>
          <w:szCs w:val="20"/>
        </w:rPr>
        <w:t>\</w:t>
      </w:r>
      <w:proofErr w:type="spellStart"/>
      <w:r>
        <w:rPr>
          <w:rFonts w:ascii="Courier New" w:eastAsia="Courier New" w:hAnsi="Courier New" w:cs="Courier New"/>
          <w:sz w:val="20"/>
          <w:szCs w:val="20"/>
        </w:rPr>
        <w:t>bselective</w:t>
      </w:r>
      <w:proofErr w:type="spellEnd"/>
      <w:r>
        <w:rPr>
          <w:rFonts w:ascii="Courier New" w:eastAsia="Courier New" w:hAnsi="Courier New" w:cs="Courier New"/>
          <w:sz w:val="20"/>
          <w:szCs w:val="20"/>
        </w:rPr>
        <w:t xml:space="preserve"> demolition\b</w:t>
      </w:r>
      <w:r>
        <w:t>) were retained for high-dimensional analysis.</w:t>
      </w:r>
    </w:p>
    <w:p w14:paraId="505FD75F" w14:textId="77777777" w:rsidR="008230C7" w:rsidRDefault="00000000">
      <w:pPr>
        <w:pStyle w:val="Heading2"/>
      </w:pPr>
      <w:r>
        <w:t>3.3. Vector Embedding and Similarity Search (Stage 2)</w:t>
      </w:r>
    </w:p>
    <w:p w14:paraId="07D64729" w14:textId="77777777" w:rsidR="008230C7" w:rsidRDefault="00000000">
      <w:pPr>
        <w:spacing w:after="160" w:line="276" w:lineRule="auto"/>
      </w:pPr>
      <w:r>
        <w:t xml:space="preserve">Retained chunks were converted into high-dimensional vector representations using OpenAI’s </w:t>
      </w:r>
      <w:r>
        <w:rPr>
          <w:b/>
          <w:bCs/>
        </w:rPr>
        <w:t>text-embedding-3-large</w:t>
      </w:r>
      <w:r>
        <w:t xml:space="preserve"> model.</w:t>
      </w:r>
    </w:p>
    <w:p w14:paraId="427495BC" w14:textId="77777777" w:rsidR="008230C7" w:rsidRDefault="00000000">
      <w:pPr>
        <w:spacing w:after="160" w:line="276" w:lineRule="auto"/>
      </w:pPr>
      <w:r>
        <w:rPr>
          <w:b/>
          <w:bCs/>
        </w:rPr>
        <w:t xml:space="preserve">High-Fidelity Embedding: </w:t>
      </w:r>
      <w:r>
        <w:t xml:space="preserve">Unlike smaller variants, this model projects text into a </w:t>
      </w:r>
      <w:r>
        <w:rPr>
          <w:b/>
          <w:bCs/>
        </w:rPr>
        <w:t>3,072-dimensional space</w:t>
      </w:r>
      <w:r>
        <w:t>, providing the necessary semantic granularity to distinguish between effectively synonymous regulatory terms (e.g., distinguishing “structural deconstruction” mandates from generic “demolition” permits).</w:t>
      </w:r>
    </w:p>
    <w:p w14:paraId="0DA11CB9" w14:textId="77777777" w:rsidR="008230C7" w:rsidRDefault="00000000">
      <w:pPr>
        <w:spacing w:after="160" w:line="276" w:lineRule="auto"/>
      </w:pPr>
      <w:r>
        <w:rPr>
          <w:b/>
          <w:bCs/>
        </w:rPr>
        <w:t xml:space="preserve">Relevance Scoring: </w:t>
      </w:r>
      <w:r>
        <w:t>The system calculated the L2 distance between query vectors and document vectors using the Facebook AI Similarity Search (</w:t>
      </w:r>
      <w:r>
        <w:rPr>
          <w:b/>
          <w:bCs/>
        </w:rPr>
        <w:t>FAISS</w:t>
      </w:r>
      <w:r>
        <w:t xml:space="preserve">) library. Based on pilot diagnostics, a strict relevance threshold of </w:t>
      </w:r>
      <w:r>
        <w:rPr>
          <w:b/>
          <w:bCs/>
        </w:rPr>
        <w:t>τ = 0.55</w:t>
      </w:r>
      <w:r>
        <w:t xml:space="preserve"> was established to filter out municipal waste management noise.</w:t>
      </w:r>
    </w:p>
    <w:p w14:paraId="78D7AD5C" w14:textId="77777777" w:rsidR="008230C7" w:rsidRDefault="00000000">
      <w:pPr>
        <w:pStyle w:val="Heading2"/>
      </w:pPr>
      <w:r>
        <w:t>3.4. LLM Judge and Precision Filtering (Stage 2)</w:t>
      </w:r>
    </w:p>
    <w:p w14:paraId="05229F8E" w14:textId="77777777" w:rsidR="008230C7" w:rsidRDefault="00000000">
      <w:pPr>
        <w:spacing w:after="160" w:line="276" w:lineRule="auto"/>
      </w:pPr>
      <w:r>
        <w:t xml:space="preserve">To resolve residual ambiguity between generic waste diversion and structural deconstruction, a final validation layer known as the </w:t>
      </w:r>
      <w:r>
        <w:rPr>
          <w:b/>
          <w:bCs/>
        </w:rPr>
        <w:t>LLM Judge</w:t>
      </w:r>
      <w:r>
        <w:t xml:space="preserve"> was implemented. High-scoring chunks were passed to a deterministic agent powered by </w:t>
      </w:r>
      <w:r>
        <w:rPr>
          <w:b/>
          <w:bCs/>
        </w:rPr>
        <w:t>GPT-4.1 (snapshot 2025-04-14)</w:t>
      </w:r>
      <w:r>
        <w:t>.</w:t>
      </w:r>
    </w:p>
    <w:p w14:paraId="1C4FCB1A" w14:textId="77777777" w:rsidR="008230C7" w:rsidRDefault="00000000">
      <w:pPr>
        <w:spacing w:after="160" w:line="276" w:lineRule="auto"/>
      </w:pPr>
      <w:r>
        <w:rPr>
          <w:b/>
          <w:bCs/>
        </w:rPr>
        <w:t xml:space="preserve">Model Selection: </w:t>
      </w:r>
      <w:r>
        <w:t>This specific model version was selected for its enhanced instruction-following capabilities, ensuring strict adherence to the inclusion/exclusion rubric without hallucinating regulatory clauses.</w:t>
      </w:r>
    </w:p>
    <w:p w14:paraId="3C2F66FB" w14:textId="77777777" w:rsidR="008230C7" w:rsidRDefault="00000000">
      <w:pPr>
        <w:spacing w:after="160" w:line="276" w:lineRule="auto"/>
      </w:pPr>
      <w:r>
        <w:rPr>
          <w:b/>
          <w:bCs/>
        </w:rPr>
        <w:t xml:space="preserve">Classification Logic: </w:t>
      </w:r>
      <w:r>
        <w:t xml:space="preserve">The agent evaluated each passage (Temperature = 0) to classify it into one of three categories: </w:t>
      </w:r>
      <w:r>
        <w:rPr>
          <w:b/>
          <w:bCs/>
        </w:rPr>
        <w:t>Keep</w:t>
      </w:r>
      <w:r>
        <w:t xml:space="preserve"> (directly concerns disassembly, soft strip, or regulatory barriers to reuse), </w:t>
      </w:r>
      <w:r>
        <w:rPr>
          <w:b/>
          <w:bCs/>
        </w:rPr>
        <w:t>Maybe</w:t>
      </w:r>
      <w:r>
        <w:t xml:space="preserve"> (contextual relevance requiring further consideration), and </w:t>
      </w:r>
      <w:r>
        <w:rPr>
          <w:b/>
          <w:bCs/>
        </w:rPr>
        <w:t>Drop</w:t>
      </w:r>
      <w:r>
        <w:t xml:space="preserve"> (irrelevant, e.g., kerbside recycling logistics). This “Human-in-the-Loop” simulation ensured that the final dataset comprised exclusively high-fidelity, domain-specific regulatory evidence.</w:t>
      </w:r>
    </w:p>
    <w:p w14:paraId="018E906A" w14:textId="77777777" w:rsidR="008230C7" w:rsidRDefault="00000000">
      <w:pPr>
        <w:pStyle w:val="Heading2"/>
      </w:pPr>
      <w:r>
        <w:t>3.5. Post-Judge Corpus Assembly (Stage 2)</w:t>
      </w:r>
    </w:p>
    <w:p w14:paraId="5546F531" w14:textId="77777777" w:rsidR="008230C7" w:rsidRDefault="00000000">
      <w:pPr>
        <w:spacing w:after="160" w:line="276" w:lineRule="auto"/>
      </w:pPr>
      <w:r>
        <w:t xml:space="preserve">Following the LLM Judge stage, all chunks labelled </w:t>
      </w:r>
      <w:r>
        <w:rPr>
          <w:b/>
          <w:bCs/>
        </w:rPr>
        <w:t>Keep</w:t>
      </w:r>
      <w:r>
        <w:t xml:space="preserve"> and </w:t>
      </w:r>
      <w:r>
        <w:rPr>
          <w:b/>
          <w:bCs/>
        </w:rPr>
        <w:t>Maybe</w:t>
      </w:r>
      <w:r>
        <w:t xml:space="preserve"> were retained for knowledge-graph extraction to preserve both high-certainty regulatory clauses and contextually relevant passages containing enabling conditions, institutional framing, or practice descriptions. Each chunk record preserved stable provenance metadata (source file, page number, chunk identifier, and chunk hash), enabling traceability from each graph statement back to its originating text segment.</w:t>
      </w:r>
    </w:p>
    <w:p w14:paraId="1E394BF8" w14:textId="77777777" w:rsidR="008230C7" w:rsidRDefault="00000000">
      <w:pPr>
        <w:spacing w:after="160" w:line="276" w:lineRule="auto"/>
      </w:pPr>
      <w:r>
        <w:lastRenderedPageBreak/>
        <w:t>To support downstream robustness checks, the judge label was propagated into the KG as a statement-level confidence weight (Keep = 1.0; Maybe = 0.6). This enabled sensitivity analyses contrasting an evidence-grade “core” graph (Keep only) against an expanded interpretive graph (Keep + Maybe).</w:t>
      </w:r>
    </w:p>
    <w:p w14:paraId="17242F01" w14:textId="77777777" w:rsidR="008230C7" w:rsidRDefault="00000000">
      <w:pPr>
        <w:pStyle w:val="Heading2"/>
      </w:pPr>
      <w:r>
        <w:t>3.6. Objective-Aligned Knowledge Graph Schema (Stage 3)</w:t>
      </w:r>
    </w:p>
    <w:p w14:paraId="622BFEE5" w14:textId="77777777" w:rsidR="008230C7" w:rsidRDefault="00000000">
      <w:pPr>
        <w:spacing w:after="160" w:line="276" w:lineRule="auto"/>
      </w:pPr>
      <w:r>
        <w:t>To ensure the KG directly supported the study’s aims—namely (</w:t>
      </w:r>
      <w:proofErr w:type="spellStart"/>
      <w:r>
        <w:t>i</w:t>
      </w:r>
      <w:proofErr w:type="spellEnd"/>
      <w:r>
        <w:t xml:space="preserve">) mapping the institutional/regulatory landscape and (ii) characterising deconstruction and salvage practices—the extraction schema was intentionally compact and analysis-driven. Entity classes comprised ten types: </w:t>
      </w:r>
      <w:r>
        <w:rPr>
          <w:b/>
          <w:bCs/>
        </w:rPr>
        <w:t xml:space="preserve">Instrument, Authority, Jurisdiction, Requirement, Practice, </w:t>
      </w:r>
      <w:proofErr w:type="spellStart"/>
      <w:r>
        <w:rPr>
          <w:b/>
          <w:bCs/>
        </w:rPr>
        <w:t>MaterialAsset</w:t>
      </w:r>
      <w:proofErr w:type="spellEnd"/>
      <w:r>
        <w:rPr>
          <w:b/>
          <w:bCs/>
        </w:rPr>
        <w:t xml:space="preserve">, Stakeholder, Barrier, Enabler, </w:t>
      </w:r>
      <w:proofErr w:type="spellStart"/>
      <w:r>
        <w:rPr>
          <w:b/>
          <w:bCs/>
        </w:rPr>
        <w:t>OutcomeMetric</w:t>
      </w:r>
      <w:proofErr w:type="spellEnd"/>
      <w:r>
        <w:t xml:space="preserve">. Relation classes were restricted to eleven governance and mechanism linkages that reconstruct “who governs what, where, and how”: </w:t>
      </w:r>
      <w:r>
        <w:rPr>
          <w:b/>
          <w:bCs/>
        </w:rPr>
        <w:t>ISSUED_BY, APPLIES_IN, APPLIES_TO, REFERENCES, REQUIRES, PROHIBITS, INVOLVES, ENABLES, BARRIERS, AFFECTS, PRODUCES</w:t>
      </w:r>
      <w:r>
        <w:t>.</w:t>
      </w:r>
    </w:p>
    <w:p w14:paraId="4CDE869C" w14:textId="77777777" w:rsidR="008230C7" w:rsidRDefault="00000000">
      <w:pPr>
        <w:spacing w:after="160" w:line="276" w:lineRule="auto"/>
      </w:pPr>
      <w:r>
        <w:t>This design avoided building a broad ontology and instead targeted a reproducible representation of governance mechanisms and practice pathways relevant to regulatory deconstruction and secondary material flows. The same schema was designed for cross-jurisdictional extensibility, with identical entity and relation types applicable to United Kingdom and Canadian corpora.</w:t>
      </w:r>
    </w:p>
    <w:p w14:paraId="0FDEEC56" w14:textId="77777777" w:rsidR="008230C7" w:rsidRDefault="00000000">
      <w:pPr>
        <w:spacing w:before="200" w:after="200"/>
        <w:jc w:val="center"/>
      </w:pPr>
      <w:r>
        <w:rPr>
          <w:b/>
          <w:bCs/>
          <w:color w:val="094183"/>
          <w:sz w:val="22"/>
          <w:szCs w:val="22"/>
        </w:rPr>
        <w:t>[Figure 2</w:t>
      </w:r>
      <w:proofErr w:type="gramStart"/>
      <w:r>
        <w:rPr>
          <w:b/>
          <w:bCs/>
          <w:color w:val="094183"/>
          <w:sz w:val="22"/>
          <w:szCs w:val="22"/>
        </w:rPr>
        <w:t>]</w:t>
      </w:r>
      <w:r>
        <w:rPr>
          <w:i/>
          <w:iCs/>
          <w:sz w:val="20"/>
          <w:szCs w:val="20"/>
        </w:rPr>
        <w:t xml:space="preserve">  Entity</w:t>
      </w:r>
      <w:proofErr w:type="gramEnd"/>
      <w:r>
        <w:rPr>
          <w:i/>
          <w:iCs/>
          <w:sz w:val="20"/>
          <w:szCs w:val="20"/>
        </w:rPr>
        <w:t>-relationship schema diagram showing 10 entity types and 11 relation types with node counts from the Australian corpus.</w:t>
      </w:r>
    </w:p>
    <w:p w14:paraId="761D54AA" w14:textId="77777777" w:rsidR="008230C7" w:rsidRDefault="00000000">
      <w:pPr>
        <w:pStyle w:val="Heading2"/>
      </w:pPr>
      <w:r>
        <w:t>3.7. LLM-Based KG Extraction with Evidence-Linked Statements (Stage 3)</w:t>
      </w:r>
    </w:p>
    <w:p w14:paraId="5E45EB27" w14:textId="77777777" w:rsidR="008230C7" w:rsidRDefault="00000000">
      <w:pPr>
        <w:spacing w:after="160" w:line="276" w:lineRule="auto"/>
      </w:pPr>
      <w:r>
        <w:t xml:space="preserve">KG extraction was performed at the chunk level using a deterministic LLM configuration (temperature = 0) with structured JSON output enforcement. The extraction model was </w:t>
      </w:r>
      <w:r>
        <w:rPr>
          <w:b/>
          <w:bCs/>
        </w:rPr>
        <w:t>chatgpt-4o-latest</w:t>
      </w:r>
      <w:r>
        <w:t xml:space="preserve"> (via OpenAI API). To maintain high precision and avoid over-generation, extraction was constrained by: (</w:t>
      </w:r>
      <w:proofErr w:type="spellStart"/>
      <w:r>
        <w:t>i</w:t>
      </w:r>
      <w:proofErr w:type="spellEnd"/>
      <w:r>
        <w:t>) strict type control (entities and relations must match the predefined schema), and (ii) per-chunk caps (≤12 entities and ≤20 relations).</w:t>
      </w:r>
    </w:p>
    <w:p w14:paraId="3B5B1880" w14:textId="77777777" w:rsidR="008230C7" w:rsidRDefault="00000000">
      <w:pPr>
        <w:spacing w:after="160" w:line="276" w:lineRule="auto"/>
      </w:pPr>
      <w:r>
        <w:t xml:space="preserve">Every extracted </w:t>
      </w:r>
      <w:r>
        <w:rPr>
          <w:b/>
          <w:bCs/>
        </w:rPr>
        <w:t>entity</w:t>
      </w:r>
      <w:r>
        <w:t xml:space="preserve"> and </w:t>
      </w:r>
      <w:r>
        <w:rPr>
          <w:b/>
          <w:bCs/>
        </w:rPr>
        <w:t>relation</w:t>
      </w:r>
      <w:r>
        <w:t xml:space="preserve"> was required to include a </w:t>
      </w:r>
      <w:r>
        <w:rPr>
          <w:b/>
          <w:bCs/>
        </w:rPr>
        <w:t>verbatim evidence excerpt</w:t>
      </w:r>
      <w:r>
        <w:t xml:space="preserve"> from the chunk. Relations were only retained when both endpoints were present as extracted entities within the same chunk, reducing the risk of speculative linking. Each relation additionally stored provenance metadata (chunk identifier and hash, source file, and page number), enabling end-to-end auditability.</w:t>
      </w:r>
    </w:p>
    <w:p w14:paraId="30C7BE78" w14:textId="77777777" w:rsidR="008230C7" w:rsidRDefault="00000000">
      <w:pPr>
        <w:pStyle w:val="Heading2"/>
      </w:pPr>
      <w:r>
        <w:t xml:space="preserve">3.8. Entity </w:t>
      </w:r>
      <w:proofErr w:type="spellStart"/>
      <w:r>
        <w:t>Canonicalisation</w:t>
      </w:r>
      <w:proofErr w:type="spellEnd"/>
      <w:r>
        <w:t xml:space="preserve"> and Graph Cleaning (Stages 3–4)</w:t>
      </w:r>
    </w:p>
    <w:p w14:paraId="79E2BE82" w14:textId="77777777" w:rsidR="008230C7" w:rsidRDefault="00000000">
      <w:pPr>
        <w:spacing w:after="160" w:line="276" w:lineRule="auto"/>
      </w:pPr>
      <w:r>
        <w:t xml:space="preserve">Entities were </w:t>
      </w:r>
      <w:proofErr w:type="spellStart"/>
      <w:r>
        <w:t>canonicalised</w:t>
      </w:r>
      <w:proofErr w:type="spellEnd"/>
      <w:r>
        <w:t xml:space="preserve"> using conservative normalisation (case, whitespace, and punctuation standardisation) and assigned deterministic identifiers through hashing of </w:t>
      </w:r>
      <w:r>
        <w:rPr>
          <w:i/>
          <w:iCs/>
        </w:rPr>
        <w:t>(</w:t>
      </w:r>
      <w:proofErr w:type="spellStart"/>
      <w:r>
        <w:rPr>
          <w:i/>
          <w:iCs/>
        </w:rPr>
        <w:t>entity_type</w:t>
      </w:r>
      <w:proofErr w:type="spellEnd"/>
      <w:r>
        <w:rPr>
          <w:i/>
          <w:iCs/>
        </w:rPr>
        <w:t xml:space="preserve"> + </w:t>
      </w:r>
      <w:proofErr w:type="spellStart"/>
      <w:r>
        <w:rPr>
          <w:i/>
          <w:iCs/>
        </w:rPr>
        <w:t>canonical_name</w:t>
      </w:r>
      <w:proofErr w:type="spellEnd"/>
      <w:r>
        <w:rPr>
          <w:i/>
          <w:iCs/>
        </w:rPr>
        <w:t>)</w:t>
      </w:r>
      <w:r>
        <w:t xml:space="preserve"> to support deduplication across chunks and stable downstream analysis. An enhanced extraction pass was applied to resolve coverage issues identified in initial diagnostics, producing a consolidated raw graph of </w:t>
      </w:r>
      <w:r>
        <w:rPr>
          <w:b/>
          <w:bCs/>
        </w:rPr>
        <w:t>1,748 unique nodes</w:t>
      </w:r>
      <w:r>
        <w:t xml:space="preserve"> </w:t>
      </w:r>
      <w:r>
        <w:lastRenderedPageBreak/>
        <w:t xml:space="preserve">and </w:t>
      </w:r>
      <w:r>
        <w:rPr>
          <w:b/>
          <w:bCs/>
        </w:rPr>
        <w:t>3,929 triples</w:t>
      </w:r>
      <w:r>
        <w:t xml:space="preserve"> across </w:t>
      </w:r>
      <w:r>
        <w:rPr>
          <w:b/>
          <w:bCs/>
        </w:rPr>
        <w:t>105 weakly connected components</w:t>
      </w:r>
      <w:r>
        <w:t xml:space="preserve"> (90.2% of nodes in the largest component).</w:t>
      </w:r>
    </w:p>
    <w:p w14:paraId="0AB374EB" w14:textId="77777777" w:rsidR="008230C7" w:rsidRDefault="00000000">
      <w:pPr>
        <w:spacing w:after="160" w:line="276" w:lineRule="auto"/>
      </w:pPr>
      <w:r>
        <w:t>A dedicated graph cleaning pipeline (Stage 4) then applied three successive operations:</w:t>
      </w:r>
    </w:p>
    <w:p w14:paraId="2199203B" w14:textId="77777777" w:rsidR="008230C7" w:rsidRDefault="00000000">
      <w:pPr>
        <w:spacing w:after="160" w:line="276" w:lineRule="auto"/>
      </w:pPr>
      <w:r>
        <w:rPr>
          <w:b/>
          <w:bCs/>
        </w:rPr>
        <w:t xml:space="preserve">Generic Hub Pruning: </w:t>
      </w:r>
      <w:r>
        <w:t>Twenty-six high-degree generic concept nodes (e.g., “Circular Economy,” “Reuse,” “Waste Management”) were identified and removed. Despite comprising only 1.5% of nodes, these false hubs accounted for 27.5% of all edges (1,247 of 4,529), confirming they were connecting otherwise unrelated entities through semantic rather than governance relationships.</w:t>
      </w:r>
    </w:p>
    <w:p w14:paraId="0A764E81" w14:textId="77777777" w:rsidR="008230C7" w:rsidRDefault="00000000">
      <w:pPr>
        <w:spacing w:after="160" w:line="276" w:lineRule="auto"/>
      </w:pPr>
      <w:r>
        <w:rPr>
          <w:b/>
          <w:bCs/>
        </w:rPr>
        <w:t xml:space="preserve">Cross-Type Entity Resolution: </w:t>
      </w:r>
      <w:r>
        <w:t>An LLM-adjudicated deduplication process resolved entities that had been extracted under different entity types across chunks (e.g., “Design for Disassembly” appearing as both a Practice and an Enabler). Using a conservative clustering approach (Jaccard similarity ≥ 0.50 on name tokens), 277 candidate entities across 79 clusters were submitted to a deterministic LLM agent, which merged 69 confirmed duplicates and corrected 192 entity type assignments.</w:t>
      </w:r>
    </w:p>
    <w:p w14:paraId="77AE60E2" w14:textId="77777777" w:rsidR="008230C7" w:rsidRDefault="00000000">
      <w:pPr>
        <w:spacing w:after="160" w:line="276" w:lineRule="auto"/>
      </w:pPr>
      <w:r>
        <w:rPr>
          <w:b/>
          <w:bCs/>
        </w:rPr>
        <w:t xml:space="preserve">Post-Merge Deduplication: </w:t>
      </w:r>
      <w:r>
        <w:t xml:space="preserve">A final deduplication pass resolved residual exact-match duplicates introduced when cross-type resolution changed an entity’s type to match an existing node. The cleaned graph stabilised at </w:t>
      </w:r>
      <w:r>
        <w:rPr>
          <w:b/>
          <w:bCs/>
        </w:rPr>
        <w:t>1,641 unique nodes</w:t>
      </w:r>
      <w:r>
        <w:t xml:space="preserve"> and </w:t>
      </w:r>
      <w:r>
        <w:rPr>
          <w:b/>
          <w:bCs/>
        </w:rPr>
        <w:t>2,788 unique triples</w:t>
      </w:r>
      <w:r>
        <w:t xml:space="preserve"> across 219 weakly connected components (81.5% in the largest component).</w:t>
      </w:r>
    </w:p>
    <w:p w14:paraId="77C7BCE1" w14:textId="77777777" w:rsidR="008230C7" w:rsidRDefault="00000000">
      <w:pPr>
        <w:pStyle w:val="Heading2"/>
      </w:pPr>
      <w:r>
        <w:t>3.9. Governance Intelligence Backend Assembly (Stage 5)</w:t>
      </w:r>
    </w:p>
    <w:p w14:paraId="44A5EA77" w14:textId="77777777" w:rsidR="008230C7" w:rsidRDefault="00000000">
      <w:pPr>
        <w:spacing w:after="160" w:line="276" w:lineRule="auto"/>
      </w:pPr>
      <w:r>
        <w:t xml:space="preserve">The cleaned knowledge graph was assembled into a </w:t>
      </w:r>
      <w:proofErr w:type="spellStart"/>
      <w:r>
        <w:t>queryable</w:t>
      </w:r>
      <w:proofErr w:type="spellEnd"/>
      <w:r>
        <w:t xml:space="preserve"> governance intelligence backend comprising three integrated components:</w:t>
      </w:r>
    </w:p>
    <w:p w14:paraId="2C20B245" w14:textId="77777777" w:rsidR="008230C7" w:rsidRDefault="00000000">
      <w:pPr>
        <w:spacing w:after="160" w:line="276" w:lineRule="auto"/>
      </w:pPr>
      <w:r>
        <w:rPr>
          <w:b/>
          <w:bCs/>
        </w:rPr>
        <w:t xml:space="preserve">Graph Store: </w:t>
      </w:r>
      <w:r>
        <w:t xml:space="preserve">The cleaned node and edge tables were loaded into a </w:t>
      </w:r>
      <w:proofErr w:type="spellStart"/>
      <w:r>
        <w:t>NetworkX</w:t>
      </w:r>
      <w:proofErr w:type="spellEnd"/>
      <w:r>
        <w:t xml:space="preserve"> </w:t>
      </w:r>
      <w:proofErr w:type="spellStart"/>
      <w:r>
        <w:t>MultiDiGraph</w:t>
      </w:r>
      <w:proofErr w:type="spellEnd"/>
      <w:r>
        <w:t xml:space="preserve"> with domain-specific traversal primitives. Lookup indices (name-to-ID and type-to-ID) supported fuzzy entity matching (using token-sort ratio ≥ 70), directed neighbour retrieval with predicate and type filters, ego subgraph extraction, and jurisdiction-scoped queries. The graph store exposes traversal operations that compose into higher-level governance queries.</w:t>
      </w:r>
    </w:p>
    <w:p w14:paraId="7D63CF23" w14:textId="77777777" w:rsidR="008230C7" w:rsidRDefault="00000000">
      <w:pPr>
        <w:spacing w:after="160" w:line="276" w:lineRule="auto"/>
      </w:pPr>
      <w:r>
        <w:rPr>
          <w:b/>
          <w:bCs/>
        </w:rPr>
        <w:t xml:space="preserve">Vector Store: </w:t>
      </w:r>
      <w:r>
        <w:t xml:space="preserve">The 364 source chunks retained from the LLM Judge stage were embedded using </w:t>
      </w:r>
      <w:r>
        <w:rPr>
          <w:b/>
          <w:bCs/>
        </w:rPr>
        <w:t>all-MiniLM-L6-v2</w:t>
      </w:r>
      <w:r>
        <w:t xml:space="preserve"> (sentence-transformers) and indexed in a </w:t>
      </w:r>
      <w:proofErr w:type="spellStart"/>
      <w:r>
        <w:t>ChromaDB</w:t>
      </w:r>
      <w:proofErr w:type="spellEnd"/>
      <w:r>
        <w:t xml:space="preserve"> collection with cosine similarity and HNSW indexing. Each chunk was tagged with the entities and relations extracted from it, enabling hybrid retrieval: graph traversal identifies relevant entities, and vector search retrieves the supporting evidence passages.</w:t>
      </w:r>
    </w:p>
    <w:p w14:paraId="790E7C41" w14:textId="77777777" w:rsidR="008230C7" w:rsidRDefault="00000000">
      <w:pPr>
        <w:spacing w:after="160" w:line="276" w:lineRule="auto"/>
      </w:pPr>
      <w:r>
        <w:rPr>
          <w:b/>
          <w:bCs/>
        </w:rPr>
        <w:t xml:space="preserve">Query Engine: </w:t>
      </w:r>
      <w:r>
        <w:t>A structured query engine was built atop the graph and vector stores, supporting five query types: (</w:t>
      </w:r>
      <w:proofErr w:type="spellStart"/>
      <w:r>
        <w:t>i</w:t>
      </w:r>
      <w:proofErr w:type="spellEnd"/>
      <w:r>
        <w:t xml:space="preserve">) </w:t>
      </w:r>
      <w:r>
        <w:rPr>
          <w:i/>
          <w:iCs/>
        </w:rPr>
        <w:t>governance pathway tracing</w:t>
      </w:r>
      <w:r>
        <w:t xml:space="preserve"> (Authority → Instrument → Requirement → Practice → Outcome, optionally scoped to a jurisdiction), (ii) </w:t>
      </w:r>
      <w:r>
        <w:rPr>
          <w:i/>
          <w:iCs/>
        </w:rPr>
        <w:t>jurisdictional comparison</w:t>
      </w:r>
      <w:r>
        <w:t xml:space="preserve"> (coverage matrices of shared and unique instruments across jurisdictions), (iii) </w:t>
      </w:r>
      <w:r>
        <w:rPr>
          <w:i/>
          <w:iCs/>
        </w:rPr>
        <w:t>gap analysis</w:t>
      </w:r>
      <w:r>
        <w:t xml:space="preserve"> (practices where barriers outweigh or entirely lack enabling instruments), (iv) </w:t>
      </w:r>
      <w:r>
        <w:rPr>
          <w:i/>
          <w:iCs/>
        </w:rPr>
        <w:t>entity explanation</w:t>
      </w:r>
      <w:r>
        <w:t xml:space="preserve"> (comprehensive profiles with graph neighbourhood and source evidence), and (v) </w:t>
      </w:r>
      <w:r>
        <w:rPr>
          <w:i/>
          <w:iCs/>
        </w:rPr>
        <w:t>free-form queries</w:t>
      </w:r>
      <w:r>
        <w:t xml:space="preserve"> answered via graph-context-enriched semantic search.</w:t>
      </w:r>
    </w:p>
    <w:p w14:paraId="3BC1C445" w14:textId="77777777" w:rsidR="008230C7" w:rsidRDefault="00000000">
      <w:pPr>
        <w:pStyle w:val="Heading2"/>
      </w:pPr>
      <w:r>
        <w:lastRenderedPageBreak/>
        <w:t>3.10. Retrieval-Augmented Generation for Grounded Answers (Stage 5)</w:t>
      </w:r>
    </w:p>
    <w:p w14:paraId="1393723F" w14:textId="77777777" w:rsidR="008230C7" w:rsidRDefault="00000000">
      <w:pPr>
        <w:spacing w:after="160" w:line="276" w:lineRule="auto"/>
      </w:pPr>
      <w:r>
        <w:t xml:space="preserve">To generate natural-language answers grounded in the knowledge graph and source evidence, each structured query result was passed to </w:t>
      </w:r>
      <w:r>
        <w:rPr>
          <w:b/>
          <w:bCs/>
        </w:rPr>
        <w:t>Claude Sonnet 4.5</w:t>
      </w:r>
      <w:r>
        <w:t xml:space="preserve"> (Anthropic) operating at temperature 0 with a domain-specific system prompt. The RAG system was configured to: (</w:t>
      </w:r>
      <w:proofErr w:type="spellStart"/>
      <w:r>
        <w:t>i</w:t>
      </w:r>
      <w:proofErr w:type="spellEnd"/>
      <w:r>
        <w:t xml:space="preserve">) ground every claim in the provided structured data and evidence excerpts, (ii) cite specific instruments, requirements, and source documents using the format [Source: filename, </w:t>
      </w:r>
      <w:proofErr w:type="spellStart"/>
      <w:r>
        <w:t>p.X</w:t>
      </w:r>
      <w:proofErr w:type="spellEnd"/>
      <w:r>
        <w:t>], (iii) explicitly acknowledge when data is insufficient, and (iv) distinguish between instruments (formal policies), requirements (specific obligations), practices (what practitioners do), and outcomes (measurable results). This architecture ensures that every answer produced by the platform is auditable back to its originating policy documents.</w:t>
      </w:r>
    </w:p>
    <w:p w14:paraId="1A9292F0" w14:textId="77777777" w:rsidR="008230C7" w:rsidRDefault="00000000">
      <w:pPr>
        <w:pStyle w:val="Heading2"/>
      </w:pPr>
      <w:r>
        <w:t>3.11. Extraction Yield and Quality Diagnostics</w:t>
      </w:r>
    </w:p>
    <w:p w14:paraId="041BAF92" w14:textId="77777777" w:rsidR="008230C7" w:rsidRDefault="00000000">
      <w:pPr>
        <w:spacing w:after="160" w:line="276" w:lineRule="auto"/>
      </w:pPr>
      <w:r>
        <w:t xml:space="preserve">Across the post-judge corpus (Keep: 152 chunks; Maybe: 205 chunks), KG extraction produced </w:t>
      </w:r>
      <w:r>
        <w:rPr>
          <w:b/>
          <w:bCs/>
        </w:rPr>
        <w:t>2,180 initial unique nodes</w:t>
      </w:r>
      <w:r>
        <w:t xml:space="preserve"> and </w:t>
      </w:r>
      <w:r>
        <w:rPr>
          <w:b/>
          <w:bCs/>
        </w:rPr>
        <w:t>2,026 initial edges</w:t>
      </w:r>
      <w:r>
        <w:t xml:space="preserve">, with a mean yield of approximately 8.4 entities and 6.0 relations per chunk. An enhanced second extraction pass increased coverage to 1,748 nodes and 3,929 triples. Statement confidence (derived from judge labels) had a mean of 0.786 (Q25 = 0.6; median = 0.6; Q75 = 1.0), enabling reporting that distinguishes high-confidence evidence (Keep only) from context-supporting evidence (Keep + Maybe). After graph cleaning, the final operational graph contained </w:t>
      </w:r>
      <w:r>
        <w:rPr>
          <w:b/>
          <w:bCs/>
        </w:rPr>
        <w:t>1,641 nodes</w:t>
      </w:r>
      <w:r>
        <w:t xml:space="preserve"> and </w:t>
      </w:r>
      <w:r>
        <w:rPr>
          <w:b/>
          <w:bCs/>
        </w:rPr>
        <w:t>2,788 triples</w:t>
      </w:r>
      <w:r>
        <w:t xml:space="preserve"> with a mean node degree of 3.4.</w:t>
      </w:r>
    </w:p>
    <w:p w14:paraId="352B383A" w14:textId="77777777" w:rsidR="008230C7" w:rsidRDefault="00000000">
      <w:r>
        <w:br w:type="page"/>
      </w:r>
    </w:p>
    <w:p w14:paraId="5618C7C9" w14:textId="77777777" w:rsidR="008230C7" w:rsidRDefault="00000000">
      <w:pPr>
        <w:pStyle w:val="Heading1"/>
      </w:pPr>
      <w:r>
        <w:lastRenderedPageBreak/>
        <w:t>4. Findings</w:t>
      </w:r>
    </w:p>
    <w:p w14:paraId="0FB54523" w14:textId="77777777" w:rsidR="008230C7" w:rsidRDefault="00000000">
      <w:pPr>
        <w:spacing w:after="160" w:line="276" w:lineRule="auto"/>
      </w:pPr>
      <w:r>
        <w:rPr>
          <w:i/>
          <w:iCs/>
        </w:rPr>
        <w:t>This section presents the results of deploying the governance intelligence platform against the Australian deconstruction policy corpus. Findings are organised around the four analytical dimensions enabled by the platform’s query engine.</w:t>
      </w:r>
    </w:p>
    <w:p w14:paraId="3829FE65" w14:textId="77777777" w:rsidR="008230C7" w:rsidRDefault="00000000">
      <w:pPr>
        <w:pStyle w:val="Heading2"/>
      </w:pPr>
      <w:r>
        <w:t>4.1. Regulatory Hierarchy and Corpus Composition</w:t>
      </w:r>
    </w:p>
    <w:p w14:paraId="3E1148C0" w14:textId="77777777" w:rsidR="008230C7" w:rsidRDefault="00000000">
      <w:pPr>
        <w:spacing w:before="100" w:after="100"/>
      </w:pPr>
      <w:r>
        <w:rPr>
          <w:i/>
          <w:iCs/>
          <w:color w:val="C4262E"/>
          <w:sz w:val="20"/>
          <w:szCs w:val="20"/>
        </w:rPr>
        <w:t>➤ Report the composition of the 36-document corpus: breakdown by government tier (federal, state, local), document type (Act, Bill, Code, Standard, Strategy, Report), and temporal coverage. Present the entity type distribution from the knowledge graph.</w:t>
      </w:r>
    </w:p>
    <w:p w14:paraId="3820C258" w14:textId="77777777" w:rsidR="008230C7" w:rsidRDefault="00000000">
      <w:pPr>
        <w:spacing w:before="200" w:after="200"/>
        <w:jc w:val="center"/>
      </w:pPr>
      <w:r>
        <w:rPr>
          <w:b/>
          <w:bCs/>
          <w:color w:val="094183"/>
          <w:sz w:val="22"/>
          <w:szCs w:val="22"/>
        </w:rPr>
        <w:t>[Figure 3</w:t>
      </w:r>
      <w:proofErr w:type="gramStart"/>
      <w:r>
        <w:rPr>
          <w:b/>
          <w:bCs/>
          <w:color w:val="094183"/>
          <w:sz w:val="22"/>
          <w:szCs w:val="22"/>
        </w:rPr>
        <w:t>]</w:t>
      </w:r>
      <w:r>
        <w:rPr>
          <w:i/>
          <w:iCs/>
          <w:sz w:val="20"/>
          <w:szCs w:val="20"/>
        </w:rPr>
        <w:t xml:space="preserve">  Summary</w:t>
      </w:r>
      <w:proofErr w:type="gramEnd"/>
      <w:r>
        <w:rPr>
          <w:i/>
          <w:iCs/>
          <w:sz w:val="20"/>
          <w:szCs w:val="20"/>
        </w:rPr>
        <w:t xml:space="preserve"> statistics dashboard: (a) entity type distribution, (b) relation type distribution, (c) node degree distribution (log-scale), (d) platform metrics table.</w:t>
      </w:r>
    </w:p>
    <w:p w14:paraId="5BCC8694" w14:textId="77777777" w:rsidR="008230C7" w:rsidRDefault="00000000">
      <w:pPr>
        <w:spacing w:before="100" w:after="100"/>
      </w:pPr>
      <w:r>
        <w:rPr>
          <w:i/>
          <w:iCs/>
          <w:color w:val="C4262E"/>
          <w:sz w:val="20"/>
          <w:szCs w:val="20"/>
        </w:rPr>
        <w:t>➤ Discuss how the entity distribution reveals the structural emphasis of Australian governance: what entity types dominate, what is underrepresented, and what this implies about regulatory priorities.</w:t>
      </w:r>
    </w:p>
    <w:p w14:paraId="5053C916" w14:textId="77777777" w:rsidR="008230C7" w:rsidRDefault="00000000">
      <w:pPr>
        <w:pStyle w:val="Heading2"/>
      </w:pPr>
      <w:r>
        <w:t>4.2. Governance Pathway Analysis: Design for Disassembly</w:t>
      </w:r>
    </w:p>
    <w:p w14:paraId="39562B5B" w14:textId="77777777" w:rsidR="008230C7" w:rsidRDefault="00000000">
      <w:pPr>
        <w:spacing w:before="100" w:after="100"/>
      </w:pPr>
      <w:r>
        <w:rPr>
          <w:i/>
          <w:iCs/>
          <w:color w:val="C4262E"/>
          <w:sz w:val="20"/>
          <w:szCs w:val="20"/>
        </w:rPr>
        <w:t>➤ Present the results of the governance pathway trace for Design for Disassembly (</w:t>
      </w:r>
      <w:proofErr w:type="spellStart"/>
      <w:r>
        <w:rPr>
          <w:i/>
          <w:iCs/>
          <w:color w:val="C4262E"/>
          <w:sz w:val="20"/>
          <w:szCs w:val="20"/>
        </w:rPr>
        <w:t>DfD</w:t>
      </w:r>
      <w:proofErr w:type="spellEnd"/>
      <w:r>
        <w:rPr>
          <w:i/>
          <w:iCs/>
          <w:color w:val="C4262E"/>
          <w:sz w:val="20"/>
          <w:szCs w:val="20"/>
        </w:rPr>
        <w:t xml:space="preserve">) as the primary case study. Report the number of instruments, requirements, enablers, barriers, and outcomes connected to </w:t>
      </w:r>
      <w:proofErr w:type="spellStart"/>
      <w:r>
        <w:rPr>
          <w:i/>
          <w:iCs/>
          <w:color w:val="C4262E"/>
          <w:sz w:val="20"/>
          <w:szCs w:val="20"/>
        </w:rPr>
        <w:t>DfD</w:t>
      </w:r>
      <w:proofErr w:type="spellEnd"/>
      <w:r>
        <w:rPr>
          <w:i/>
          <w:iCs/>
          <w:color w:val="C4262E"/>
          <w:sz w:val="20"/>
          <w:szCs w:val="20"/>
        </w:rPr>
        <w:t xml:space="preserve"> in the knowledge graph. Discuss the governance chain: which authorities issued which instruments, and which jurisdictions they apply in.</w:t>
      </w:r>
    </w:p>
    <w:p w14:paraId="39CA1E25" w14:textId="77777777" w:rsidR="008230C7" w:rsidRDefault="00000000">
      <w:pPr>
        <w:spacing w:before="200" w:after="200"/>
        <w:jc w:val="center"/>
      </w:pPr>
      <w:r>
        <w:rPr>
          <w:b/>
          <w:bCs/>
          <w:color w:val="094183"/>
          <w:sz w:val="22"/>
          <w:szCs w:val="22"/>
        </w:rPr>
        <w:t>[Figure 4</w:t>
      </w:r>
      <w:proofErr w:type="gramStart"/>
      <w:r>
        <w:rPr>
          <w:b/>
          <w:bCs/>
          <w:color w:val="094183"/>
          <w:sz w:val="22"/>
          <w:szCs w:val="22"/>
        </w:rPr>
        <w:t>]</w:t>
      </w:r>
      <w:r>
        <w:rPr>
          <w:i/>
          <w:iCs/>
          <w:sz w:val="20"/>
          <w:szCs w:val="20"/>
        </w:rPr>
        <w:t xml:space="preserve">  </w:t>
      </w:r>
      <w:proofErr w:type="spellStart"/>
      <w:r>
        <w:rPr>
          <w:i/>
          <w:iCs/>
          <w:sz w:val="20"/>
          <w:szCs w:val="20"/>
        </w:rPr>
        <w:t>DfD</w:t>
      </w:r>
      <w:proofErr w:type="spellEnd"/>
      <w:proofErr w:type="gramEnd"/>
      <w:r>
        <w:rPr>
          <w:i/>
          <w:iCs/>
          <w:sz w:val="20"/>
          <w:szCs w:val="20"/>
        </w:rPr>
        <w:t xml:space="preserve"> governance pathway ego network showing instruments, requirements, barriers, and outcomes connected to Design for Disassembly practice node.</w:t>
      </w:r>
    </w:p>
    <w:p w14:paraId="19F35459" w14:textId="77777777" w:rsidR="008230C7" w:rsidRDefault="00000000">
      <w:pPr>
        <w:spacing w:before="100" w:after="100"/>
      </w:pPr>
      <w:r>
        <w:rPr>
          <w:i/>
          <w:iCs/>
          <w:color w:val="C4262E"/>
          <w:sz w:val="20"/>
          <w:szCs w:val="20"/>
        </w:rPr>
        <w:t>➤ Analyse the pathway for completeness: does the chain from Authority → Instrument → Requirement → Practice → Outcome hold, or are there broken links? Identify which jurisdictions have stronger governance chains and which have gaps.</w:t>
      </w:r>
    </w:p>
    <w:p w14:paraId="26F7AB2E" w14:textId="77777777" w:rsidR="008230C7" w:rsidRDefault="00000000">
      <w:pPr>
        <w:pStyle w:val="Heading2"/>
      </w:pPr>
      <w:r>
        <w:t>4.3. Jurisdictional Comparison</w:t>
      </w:r>
    </w:p>
    <w:p w14:paraId="066EDD2E" w14:textId="77777777" w:rsidR="008230C7" w:rsidRDefault="00000000">
      <w:pPr>
        <w:spacing w:before="100" w:after="100"/>
      </w:pPr>
      <w:r>
        <w:rPr>
          <w:i/>
          <w:iCs/>
          <w:color w:val="C4262E"/>
          <w:sz w:val="20"/>
          <w:szCs w:val="20"/>
        </w:rPr>
        <w:t>➤ Present the jurisdictional comparison results for Victoria, New South Wales, and Queensland (and other states as available). Report the number of instruments per jurisdiction, shared instruments across all three, and unique instruments per jurisdiction. Discuss the coverage matrix.</w:t>
      </w:r>
    </w:p>
    <w:p w14:paraId="6627DC8A" w14:textId="77777777" w:rsidR="008230C7" w:rsidRDefault="00000000">
      <w:pPr>
        <w:spacing w:before="200" w:after="200"/>
        <w:jc w:val="center"/>
      </w:pPr>
      <w:r>
        <w:rPr>
          <w:b/>
          <w:bCs/>
          <w:color w:val="094183"/>
          <w:sz w:val="22"/>
          <w:szCs w:val="22"/>
        </w:rPr>
        <w:t>[Figure 5</w:t>
      </w:r>
      <w:proofErr w:type="gramStart"/>
      <w:r>
        <w:rPr>
          <w:b/>
          <w:bCs/>
          <w:color w:val="094183"/>
          <w:sz w:val="22"/>
          <w:szCs w:val="22"/>
        </w:rPr>
        <w:t>]</w:t>
      </w:r>
      <w:r>
        <w:rPr>
          <w:i/>
          <w:iCs/>
          <w:sz w:val="20"/>
          <w:szCs w:val="20"/>
        </w:rPr>
        <w:t xml:space="preserve">  Jurisdictional</w:t>
      </w:r>
      <w:proofErr w:type="gramEnd"/>
      <w:r>
        <w:rPr>
          <w:i/>
          <w:iCs/>
          <w:sz w:val="20"/>
          <w:szCs w:val="20"/>
        </w:rPr>
        <w:t xml:space="preserve"> coverage heatmap: (a) stacked bar chart of entity connections by jurisdiction, (b) binary heatmap of instrument applicability across jurisdictions.</w:t>
      </w:r>
    </w:p>
    <w:p w14:paraId="22448821" w14:textId="77777777" w:rsidR="008230C7" w:rsidRDefault="00000000">
      <w:pPr>
        <w:spacing w:before="100" w:after="100"/>
      </w:pPr>
      <w:r>
        <w:rPr>
          <w:i/>
          <w:iCs/>
          <w:color w:val="C4262E"/>
          <w:sz w:val="20"/>
          <w:szCs w:val="20"/>
        </w:rPr>
        <w:t>➤ Discuss the implications of the Queensland attribution gap identified in the knowledge graph cleaning stage. Analyse whether jurisdictional fragmentation is primarily in instrument coverage, enforcement mechanisms, or both. Compare federal aspirational language versus state-level statutory reality.</w:t>
      </w:r>
    </w:p>
    <w:p w14:paraId="3A272657" w14:textId="77777777" w:rsidR="008230C7" w:rsidRDefault="00000000">
      <w:pPr>
        <w:pStyle w:val="Heading2"/>
      </w:pPr>
      <w:r>
        <w:t>4.4. Gap Analysis: Barriers Without Enabling Instruments</w:t>
      </w:r>
    </w:p>
    <w:p w14:paraId="0AF6B4F8" w14:textId="77777777" w:rsidR="008230C7" w:rsidRDefault="00000000">
      <w:pPr>
        <w:spacing w:before="100" w:after="100"/>
      </w:pPr>
      <w:r>
        <w:rPr>
          <w:i/>
          <w:iCs/>
          <w:color w:val="C4262E"/>
          <w:sz w:val="20"/>
          <w:szCs w:val="20"/>
        </w:rPr>
        <w:t>➤ Present the gap analysis results: total practices analysed, number of gaps identified, and number of high-severity gaps (practices with barriers but zero instruments or enablers). List the most critical gaps and their associated barriers.</w:t>
      </w:r>
    </w:p>
    <w:p w14:paraId="35894E02" w14:textId="77777777" w:rsidR="008230C7" w:rsidRDefault="00000000">
      <w:pPr>
        <w:spacing w:before="200" w:after="200"/>
        <w:jc w:val="center"/>
      </w:pPr>
      <w:r>
        <w:rPr>
          <w:b/>
          <w:bCs/>
          <w:color w:val="094183"/>
          <w:sz w:val="22"/>
          <w:szCs w:val="22"/>
        </w:rPr>
        <w:t>[Figure 6</w:t>
      </w:r>
      <w:proofErr w:type="gramStart"/>
      <w:r>
        <w:rPr>
          <w:b/>
          <w:bCs/>
          <w:color w:val="094183"/>
          <w:sz w:val="22"/>
          <w:szCs w:val="22"/>
        </w:rPr>
        <w:t>]</w:t>
      </w:r>
      <w:r>
        <w:rPr>
          <w:i/>
          <w:iCs/>
          <w:sz w:val="20"/>
          <w:szCs w:val="20"/>
        </w:rPr>
        <w:t xml:space="preserve">  Gap</w:t>
      </w:r>
      <w:proofErr w:type="gramEnd"/>
      <w:r>
        <w:rPr>
          <w:i/>
          <w:iCs/>
          <w:sz w:val="20"/>
          <w:szCs w:val="20"/>
        </w:rPr>
        <w:t xml:space="preserve"> analysis matrix: barriers versus instruments and enablers per practice, with high-severity gaps (zero support) highlighted.</w:t>
      </w:r>
    </w:p>
    <w:p w14:paraId="6F827A3D" w14:textId="77777777" w:rsidR="008230C7" w:rsidRDefault="00000000">
      <w:pPr>
        <w:spacing w:before="100" w:after="100"/>
      </w:pPr>
      <w:r>
        <w:rPr>
          <w:i/>
          <w:iCs/>
          <w:color w:val="C4262E"/>
          <w:sz w:val="20"/>
          <w:szCs w:val="20"/>
        </w:rPr>
        <w:t xml:space="preserve">➤ Interpret the gap analysis in the context of regulatory inertia: which barriers are legislative (conflicting permits, missing certification), which are institutional (lack of coordination between agencies), and which are </w:t>
      </w:r>
      <w:r>
        <w:rPr>
          <w:i/>
          <w:iCs/>
          <w:color w:val="C4262E"/>
          <w:sz w:val="20"/>
          <w:szCs w:val="20"/>
        </w:rPr>
        <w:lastRenderedPageBreak/>
        <w:t>market-based (risk-averse procurement)? Discuss how the severity classification (high vs. medium) maps to policy actionability.</w:t>
      </w:r>
    </w:p>
    <w:p w14:paraId="7B987C5A" w14:textId="77777777" w:rsidR="008230C7" w:rsidRDefault="00000000">
      <w:pPr>
        <w:pStyle w:val="Heading2"/>
      </w:pPr>
      <w:r>
        <w:t>4.5. Semantic and Definitional Gaps</w:t>
      </w:r>
    </w:p>
    <w:p w14:paraId="23E79530" w14:textId="77777777" w:rsidR="008230C7" w:rsidRDefault="00000000">
      <w:pPr>
        <w:spacing w:before="100" w:after="100"/>
      </w:pPr>
      <w:r>
        <w:rPr>
          <w:i/>
          <w:iCs/>
          <w:color w:val="C4262E"/>
          <w:sz w:val="20"/>
          <w:szCs w:val="20"/>
        </w:rPr>
        <w:t>➤ Present findings on how ‘deconstruction’ and ‘salvage’ are defined (or not) in the policy corpus. Report the prevalence of generic ‘waste diversion’ language versus specific ‘disassembly’ and ‘component reuse’ mandates. Use entity and relation counts from the knowledge graph to quantify definitional precision.</w:t>
      </w:r>
    </w:p>
    <w:p w14:paraId="06531C19" w14:textId="77777777" w:rsidR="008230C7" w:rsidRDefault="00000000">
      <w:pPr>
        <w:spacing w:before="100" w:after="100"/>
      </w:pPr>
      <w:r>
        <w:rPr>
          <w:i/>
          <w:iCs/>
          <w:color w:val="C4262E"/>
          <w:sz w:val="20"/>
          <w:szCs w:val="20"/>
        </w:rPr>
        <w:t>➤ Discuss the implications: if policy instruments refer only to ‘waste diversion’ without distinguishing between crushing/downcycling and selective disassembly/reuse, what are the practical consequences for deconstruction practitioners?</w:t>
      </w:r>
    </w:p>
    <w:p w14:paraId="3D698D66" w14:textId="77777777" w:rsidR="008230C7" w:rsidRDefault="00000000">
      <w:pPr>
        <w:pStyle w:val="Heading2"/>
      </w:pPr>
      <w:r>
        <w:t>4.6. Platform Demonstration: Query-Driven Policy Intelligence</w:t>
      </w:r>
    </w:p>
    <w:p w14:paraId="1562633D" w14:textId="77777777" w:rsidR="008230C7" w:rsidRDefault="00000000">
      <w:pPr>
        <w:spacing w:before="100" w:after="100"/>
      </w:pPr>
      <w:r>
        <w:rPr>
          <w:i/>
          <w:iCs/>
          <w:color w:val="C4262E"/>
          <w:sz w:val="20"/>
          <w:szCs w:val="20"/>
        </w:rPr>
        <w:t xml:space="preserve">➤ Present the four demo queries and their Claude-synthesised answers as evidence that the platform functions as an operational governance intelligence tool. Summarise each demo: (1) </w:t>
      </w:r>
      <w:proofErr w:type="spellStart"/>
      <w:r>
        <w:rPr>
          <w:i/>
          <w:iCs/>
          <w:color w:val="C4262E"/>
          <w:sz w:val="20"/>
          <w:szCs w:val="20"/>
        </w:rPr>
        <w:t>DfD</w:t>
      </w:r>
      <w:proofErr w:type="spellEnd"/>
      <w:r>
        <w:rPr>
          <w:i/>
          <w:iCs/>
          <w:color w:val="C4262E"/>
          <w:sz w:val="20"/>
          <w:szCs w:val="20"/>
        </w:rPr>
        <w:t xml:space="preserve"> pathway, (2) jurisdictional comparison, (3) gap analysis, (4) material passports and deconstruction. Emphasise that every claim in the synthesised answers traces back to source documents.</w:t>
      </w:r>
    </w:p>
    <w:p w14:paraId="7A85E530" w14:textId="77777777" w:rsidR="008230C7" w:rsidRDefault="00000000">
      <w:pPr>
        <w:spacing w:before="200" w:after="200"/>
        <w:jc w:val="center"/>
      </w:pPr>
      <w:r>
        <w:rPr>
          <w:b/>
          <w:bCs/>
          <w:color w:val="094183"/>
          <w:sz w:val="22"/>
          <w:szCs w:val="22"/>
        </w:rPr>
        <w:t>[Figure 7</w:t>
      </w:r>
      <w:proofErr w:type="gramStart"/>
      <w:r>
        <w:rPr>
          <w:b/>
          <w:bCs/>
          <w:color w:val="094183"/>
          <w:sz w:val="22"/>
          <w:szCs w:val="22"/>
        </w:rPr>
        <w:t>]</w:t>
      </w:r>
      <w:r>
        <w:rPr>
          <w:i/>
          <w:iCs/>
          <w:sz w:val="20"/>
          <w:szCs w:val="20"/>
        </w:rPr>
        <w:t xml:space="preserve">  Demo</w:t>
      </w:r>
      <w:proofErr w:type="gramEnd"/>
      <w:r>
        <w:rPr>
          <w:i/>
          <w:iCs/>
          <w:sz w:val="20"/>
          <w:szCs w:val="20"/>
        </w:rPr>
        <w:t xml:space="preserve"> Q&amp;A cards: 2×2 grid showing four formatted query–answer pairs with source citations and structured data badges.</w:t>
      </w:r>
    </w:p>
    <w:sectPr w:rsidR="008230C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70E11" w14:textId="77777777" w:rsidR="00C64B1B" w:rsidRDefault="00C64B1B">
      <w:r>
        <w:separator/>
      </w:r>
    </w:p>
  </w:endnote>
  <w:endnote w:type="continuationSeparator" w:id="0">
    <w:p w14:paraId="7906CD2A" w14:textId="77777777" w:rsidR="00C64B1B" w:rsidRDefault="00C64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57AF8" w14:textId="78F4F90D" w:rsidR="008230C7" w:rsidRDefault="008230C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21189" w14:textId="77777777" w:rsidR="00C64B1B" w:rsidRDefault="00C64B1B">
      <w:r>
        <w:separator/>
      </w:r>
    </w:p>
  </w:footnote>
  <w:footnote w:type="continuationSeparator" w:id="0">
    <w:p w14:paraId="5BAA6F4F" w14:textId="77777777" w:rsidR="00C64B1B" w:rsidRDefault="00C64B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8650C"/>
    <w:multiLevelType w:val="hybridMultilevel"/>
    <w:tmpl w:val="9182BD66"/>
    <w:lvl w:ilvl="0" w:tplc="6F964642">
      <w:start w:val="1"/>
      <w:numFmt w:val="bullet"/>
      <w:lvlText w:val="●"/>
      <w:lvlJc w:val="left"/>
      <w:pPr>
        <w:ind w:left="720" w:hanging="360"/>
      </w:pPr>
    </w:lvl>
    <w:lvl w:ilvl="1" w:tplc="AB987438">
      <w:start w:val="1"/>
      <w:numFmt w:val="bullet"/>
      <w:lvlText w:val="○"/>
      <w:lvlJc w:val="left"/>
      <w:pPr>
        <w:ind w:left="1440" w:hanging="360"/>
      </w:pPr>
    </w:lvl>
    <w:lvl w:ilvl="2" w:tplc="159429A6">
      <w:start w:val="1"/>
      <w:numFmt w:val="bullet"/>
      <w:lvlText w:val="■"/>
      <w:lvlJc w:val="left"/>
      <w:pPr>
        <w:ind w:left="2160" w:hanging="360"/>
      </w:pPr>
    </w:lvl>
    <w:lvl w:ilvl="3" w:tplc="18EA35D0">
      <w:start w:val="1"/>
      <w:numFmt w:val="bullet"/>
      <w:lvlText w:val="●"/>
      <w:lvlJc w:val="left"/>
      <w:pPr>
        <w:ind w:left="2880" w:hanging="360"/>
      </w:pPr>
    </w:lvl>
    <w:lvl w:ilvl="4" w:tplc="D64833D2">
      <w:start w:val="1"/>
      <w:numFmt w:val="bullet"/>
      <w:lvlText w:val="○"/>
      <w:lvlJc w:val="left"/>
      <w:pPr>
        <w:ind w:left="3600" w:hanging="360"/>
      </w:pPr>
    </w:lvl>
    <w:lvl w:ilvl="5" w:tplc="574EE6E6">
      <w:start w:val="1"/>
      <w:numFmt w:val="bullet"/>
      <w:lvlText w:val="■"/>
      <w:lvlJc w:val="left"/>
      <w:pPr>
        <w:ind w:left="4320" w:hanging="360"/>
      </w:pPr>
    </w:lvl>
    <w:lvl w:ilvl="6" w:tplc="B164BFBA">
      <w:start w:val="1"/>
      <w:numFmt w:val="bullet"/>
      <w:lvlText w:val="●"/>
      <w:lvlJc w:val="left"/>
      <w:pPr>
        <w:ind w:left="5040" w:hanging="360"/>
      </w:pPr>
    </w:lvl>
    <w:lvl w:ilvl="7" w:tplc="BF0A6C3A">
      <w:start w:val="1"/>
      <w:numFmt w:val="bullet"/>
      <w:lvlText w:val="●"/>
      <w:lvlJc w:val="left"/>
      <w:pPr>
        <w:ind w:left="5760" w:hanging="360"/>
      </w:pPr>
    </w:lvl>
    <w:lvl w:ilvl="8" w:tplc="886AE9F6">
      <w:start w:val="1"/>
      <w:numFmt w:val="bullet"/>
      <w:lvlText w:val="●"/>
      <w:lvlJc w:val="left"/>
      <w:pPr>
        <w:ind w:left="6480" w:hanging="360"/>
      </w:pPr>
    </w:lvl>
  </w:abstractNum>
  <w:num w:numId="1" w16cid:durableId="18100562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0C7"/>
    <w:rsid w:val="00496FF3"/>
    <w:rsid w:val="00593CD6"/>
    <w:rsid w:val="00671A4B"/>
    <w:rsid w:val="008230C7"/>
    <w:rsid w:val="00C64B1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ecimalSymbol w:val="."/>
  <w:listSeparator w:val=","/>
  <w14:docId w14:val="21D38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spacing w:before="24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96FF3"/>
    <w:pPr>
      <w:tabs>
        <w:tab w:val="center" w:pos="4513"/>
        <w:tab w:val="right" w:pos="9026"/>
      </w:tabs>
    </w:pPr>
  </w:style>
  <w:style w:type="character" w:customStyle="1" w:styleId="HeaderChar">
    <w:name w:val="Header Char"/>
    <w:basedOn w:val="DefaultParagraphFont"/>
    <w:link w:val="Header"/>
    <w:uiPriority w:val="99"/>
    <w:rsid w:val="00496FF3"/>
  </w:style>
  <w:style w:type="paragraph" w:styleId="Footer">
    <w:name w:val="footer"/>
    <w:basedOn w:val="Normal"/>
    <w:link w:val="FooterChar"/>
    <w:uiPriority w:val="99"/>
    <w:unhideWhenUsed/>
    <w:rsid w:val="00496FF3"/>
    <w:pPr>
      <w:tabs>
        <w:tab w:val="center" w:pos="4513"/>
        <w:tab w:val="right" w:pos="9026"/>
      </w:tabs>
    </w:pPr>
  </w:style>
  <w:style w:type="character" w:customStyle="1" w:styleId="FooterChar">
    <w:name w:val="Footer Char"/>
    <w:basedOn w:val="DefaultParagraphFont"/>
    <w:link w:val="Footer"/>
    <w:uiPriority w:val="99"/>
    <w:rsid w:val="00496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3166</Words>
  <Characters>18998</Characters>
  <Application>Microsoft Office Word</Application>
  <DocSecurity>0</DocSecurity>
  <Lines>527</Lines>
  <Paragraphs>335</Paragraphs>
  <ScaleCrop>false</ScaleCrop>
  <Company/>
  <LinksUpToDate>false</LinksUpToDate>
  <CharactersWithSpaces>21829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2026-02-12T21:23:00Z</dcterms:created>
  <dcterms:modified xsi:type="dcterms:W3CDTF">2026-02-12T22:09:00Z</dcterms:modified>
</cp:coreProperties>
</file>