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b/>
          <w:bCs/>
          <w:sz w:val="30"/>
          <w:szCs w:val="30"/>
        </w:rPr>
        <w:t xml:space="preserve">From minutes to managerial intelligence: a natural language processing framework for identifying and longitudinally monitoring recurring organizational problems in unstructured meeting minutes</w:t>
      </w:r>
    </w:p>
    <w:p>
      <w:pPr>
        <w:spacing w:after="40" w:before="0" w:line="276"/>
        <w:jc w:val="left"/>
      </w:pPr>
      <w:r>
        <w:t xml:space="preserve">Paulo A. Moreira</w:t>
      </w:r>
      <w:r>
        <w:rPr>
          <w:vertAlign w:val="superscript"/>
        </w:rPr>
        <w:t xml:space="preserve">a,*</w:t>
      </w:r>
      <w:r>
        <w:t xml:space="preserve">; [Co-author Name]</w:t>
      </w:r>
      <w:r>
        <w:rPr>
          <w:vertAlign w:val="superscript"/>
        </w:rPr>
        <w:t xml:space="preserve">b</w:t>
      </w:r>
      <w:r>
        <w:t xml:space="preserve">; [Co-author Name]</w:t>
      </w:r>
      <w:r>
        <w:rPr>
          <w:vertAlign w:val="superscript"/>
        </w:rPr>
        <w:t xml:space="preserve">a</w:t>
      </w:r>
    </w:p>
    <w:p>
      <w:pPr>
        <w:spacing w:after="20" w:before="0" w:line="276"/>
        <w:jc w:val="left"/>
      </w:pPr>
      <w:r>
        <w:rPr>
          <w:vertAlign w:val="superscript"/>
        </w:rPr>
        <w:t xml:space="preserve">a </w:t>
      </w:r>
      <w:r>
        <w:rPr>
          <w:i/>
          <w:iCs/>
          <w:sz w:val="18"/>
          <w:szCs w:val="18"/>
        </w:rPr>
        <w:t xml:space="preserve">[Institution / Doctoral Program in Business Administration], [City], Brazil</w:t>
      </w:r>
    </w:p>
    <w:p>
      <w:pPr>
        <w:spacing w:after="20" w:before="0" w:line="276"/>
        <w:jc w:val="left"/>
      </w:pPr>
      <w:r>
        <w:rPr>
          <w:vertAlign w:val="superscript"/>
        </w:rPr>
        <w:t xml:space="preserve">b </w:t>
      </w:r>
      <w:r>
        <w:rPr>
          <w:i/>
          <w:iCs/>
          <w:sz w:val="18"/>
          <w:szCs w:val="18"/>
        </w:rPr>
        <w:t xml:space="preserve">[Institution / Department], [City], [Country]</w:t>
      </w:r>
    </w:p>
    <w:p>
      <w:pPr>
        <w:spacing w:after="200" w:before="0" w:line="276"/>
        <w:jc w:val="left"/>
      </w:pPr>
      <w:r>
        <w:rPr>
          <w:i/>
          <w:iCs/>
          <w:sz w:val="18"/>
          <w:szCs w:val="18"/>
        </w:rPr>
        <w:t xml:space="preserve">* Corresponding author. E-mail: [email]</w:t>
      </w:r>
    </w:p>
    <w:p>
      <w:pPr>
        <w:spacing w:after="80" w:before="80"/>
      </w:pPr>
      <w:r>
        <w:rPr>
          <w:b/>
          <w:bCs/>
          <w:sz w:val="22"/>
          <w:szCs w:val="22"/>
        </w:rPr>
        <w:t xml:space="preserve">Highlights</w:t>
      </w:r>
    </w:p>
    <w:p>
      <w:pPr>
        <w:pStyle w:val="ListParagraph"/>
        <w:numPr>
          <w:ilvl w:val="0"/>
          <w:numId w:val="2"/>
        </w:numPr>
        <w:spacing w:after="80" w:line="264"/>
        <w:jc w:val="both"/>
      </w:pPr>
      <w:r>
        <w:t xml:space="preserve">An NLP framework turns unstructured meeting minutes into a monitorable governance KPI.</w:t>
      </w:r>
    </w:p>
    <w:p>
      <w:pPr>
        <w:pStyle w:val="ListParagraph"/>
        <w:numPr>
          <w:ilvl w:val="0"/>
          <w:numId w:val="2"/>
        </w:numPr>
        <w:spacing w:after="80" w:line="264"/>
        <w:jc w:val="both"/>
      </w:pPr>
      <w:r>
        <w:t xml:space="preserve">Character n-gram SVM identifies problem entries with F1 of 0.92 on held-out data.</w:t>
      </w:r>
    </w:p>
    <w:p>
      <w:pPr>
        <w:pStyle w:val="ListParagraph"/>
        <w:numPr>
          <w:ilvl w:val="0"/>
          <w:numId w:val="2"/>
        </w:numPr>
        <w:spacing w:after="80" w:line="264"/>
        <w:jc w:val="both"/>
      </w:pPr>
      <w:r>
        <w:t xml:space="preserve">A combined semantic–temporal distance clusters recurring problems with HDBSCAN.</w:t>
      </w:r>
    </w:p>
    <w:p>
      <w:pPr>
        <w:pStyle w:val="ListParagraph"/>
        <w:numPr>
          <w:ilvl w:val="0"/>
          <w:numId w:val="2"/>
        </w:numPr>
        <w:spacing w:after="80" w:line="264"/>
        <w:jc w:val="both"/>
      </w:pPr>
      <w:r>
        <w:t xml:space="preserve">Longitudinal analysis exposes chronic, low-complexity problems that evade manual review.</w:t>
      </w:r>
    </w:p>
    <w:p>
      <w:pPr>
        <w:pStyle w:val="ListParagraph"/>
        <w:numPr>
          <w:ilvl w:val="0"/>
          <w:numId w:val="2"/>
        </w:numPr>
        <w:spacing w:after="80" w:line="264"/>
        <w:jc w:val="both"/>
      </w:pPr>
      <w:r>
        <w:t xml:space="preserve">The pipeline also audits the minute-taking instrument by detecting boilerplate leakage.</w:t>
      </w:r>
    </w:p>
    <w:p>
      <w:pPr>
        <w:spacing w:after="80" w:before="200"/>
      </w:pPr>
      <w:r>
        <w:rPr>
          <w:b/>
          <w:bCs/>
          <w:sz w:val="22"/>
          <w:szCs w:val="22"/>
        </w:rPr>
        <w:t xml:space="preserve">Abstract</w:t>
      </w:r>
    </w:p>
    <w:p>
      <w:pPr>
        <w:spacing w:after="160" w:before="0" w:line="276"/>
        <w:jc w:val="both"/>
      </w:pPr>
      <w:r>
        <w:t xml:space="preserve">Meeting minutes are a rich repository of institutional knowledge, yet they are largely left unprocessed after distribution, which prevents organizations from systematically tracking problems that recur across time and across business areas. We propose and evaluate, following a design science research approach, an analytical framework that (i) automatically identifies problem-related entries in unstructured corporate meeting minutes, (ii) consolidates lexically distinct but semantically equivalent problems through semantic clustering, and (iii) monitors the longitudinal persistence of those problems to support managerial decision making. The framework is instantiated and evaluated on a real corpus of 374 meeting minutes from an organization, spanning 11 business areas over 40 months and yielding 3,603 text segments after cleaning. A character n-gram support vector classifier identifies problem entries with an F1 score of 0.92 on held-out data, outperforming word-level and frozen contextual-embedding baselines in this domain. Problem segments are embedded with a multilingual sentence encoder and grouped with HDBSCAN over a distance matrix that combines semantic similarity and temporal proximity, producing 59 internally coherent clusters of recurring problems. The longitudinal analysis reveals a heavy-tailed persistence distribution in which most problems are transient but a chronic minority persists for up to nine months, and it surfaces concentrated supplier risk and an area-level governance profile. We discuss implications for decision support, organizational learning, and the auditing of the minute-taking instrument itself, together with the methodological limitations of the approach.</w:t>
      </w:r>
    </w:p>
    <w:p>
      <w:pPr>
        <w:spacing w:after="240" w:before="0" w:line="276"/>
        <w:jc w:val="left"/>
      </w:pPr>
      <w:r>
        <w:rPr>
          <w:b/>
          <w:bCs/>
        </w:rPr>
        <w:t xml:space="preserve">Keywords: </w:t>
      </w:r>
      <w:r>
        <w:t xml:space="preserve">Decision support; Natural language processing; Text classification; Semantic clustering; Organizational learning; Project governance</w:t>
      </w:r>
    </w:p>
    <w:p>
      <w:pPr>
        <w:pStyle w:val="Heading1"/>
        <w:spacing w:after="140" w:before="280"/>
      </w:pPr>
      <w:r>
        <w:t xml:space="preserve">1. Introduction</w:t>
      </w:r>
    </w:p>
    <w:p>
      <w:pPr>
        <w:spacing w:after="160" w:before="0" w:line="276"/>
        <w:jc w:val="both"/>
      </w:pPr>
      <w:r>
        <w:t xml:space="preserve">Medium and large organizations produce a growing volume of internal textual records — meeting minutes, status reports, follow-up notes — that document the progress of projects, the decisions taken, and, above all, the problems encountered. Despite their informational value, these documents are rarely treated as analyzable data: once written and circulated, they become a dead archive. Decision support systems have traditionally been built around structured, quantitative data [1], whereas the unstructured narratives that carry the richest managerial signal remain underexploited [4]. The consequence is a gap in organizational learning, in which the same problems reappear month after month, across different areas, without any structured mechanism to detect their recurrence, measure their persistence, or signal their escalation.</w:t>
      </w:r>
    </w:p>
    <w:p>
      <w:pPr>
        <w:spacing w:after="160" w:before="0" w:line="276"/>
        <w:jc w:val="both"/>
      </w:pPr>
      <w:r>
        <w:t xml:space="preserve">The challenge is threefold. First, volume: hundreds of minutes per year across business areas make manual review infeasible. Second, recurrence: the same problems reappear over months and areas without systematic detection. Third, invisibility: there is no mechanism that tracks the persistence or escalation of a problem over time. Undetected recurring problems are, ultimately, a symptom of systemic weaknesses in project and supplier management — that is, a governance risk.</w:t>
      </w:r>
    </w:p>
    <w:p>
      <w:pPr>
        <w:spacing w:after="160" w:before="0" w:line="276"/>
        <w:jc w:val="both"/>
      </w:pPr>
      <w:r>
        <w:t xml:space="preserve">This study addresses the following central research question: how can an NLP-based analytical framework be used to identify and longitudinally monitor recurring organizational problems in unstructured corporate meeting minutes? We decompose it into three sub-questions:</w:t>
      </w:r>
    </w:p>
    <w:p>
      <w:pPr>
        <w:pStyle w:val="ListParagraph"/>
        <w:numPr>
          <w:ilvl w:val="0"/>
          <w:numId w:val="2"/>
        </w:numPr>
        <w:spacing w:after="80" w:line="264"/>
        <w:jc w:val="both"/>
      </w:pPr>
      <w:r>
        <w:rPr>
          <w:b/>
          <w:bCs/>
        </w:rPr>
        <w:t xml:space="preserve">RQ1. </w:t>
      </w:r>
      <w:r>
        <w:t xml:space="preserve">Can supervised NLP classification reliably identify problem-related entries in corporate meeting minutes?</w:t>
      </w:r>
    </w:p>
    <w:p>
      <w:pPr>
        <w:pStyle w:val="ListParagraph"/>
        <w:numPr>
          <w:ilvl w:val="0"/>
          <w:numId w:val="2"/>
        </w:numPr>
        <w:spacing w:after="80" w:line="264"/>
        <w:jc w:val="both"/>
      </w:pPr>
      <w:r>
        <w:rPr>
          <w:b/>
          <w:bCs/>
        </w:rPr>
        <w:t xml:space="preserve">RQ2. </w:t>
      </w:r>
      <w:r>
        <w:t xml:space="preserve">Can semantic clustering consolidate lexically different but semantically similar organizational problems?</w:t>
      </w:r>
    </w:p>
    <w:p>
      <w:pPr>
        <w:pStyle w:val="ListParagraph"/>
        <w:numPr>
          <w:ilvl w:val="0"/>
          <w:numId w:val="2"/>
        </w:numPr>
        <w:spacing w:after="80" w:line="264"/>
        <w:jc w:val="both"/>
      </w:pPr>
      <w:r>
        <w:rPr>
          <w:b/>
          <w:bCs/>
        </w:rPr>
        <w:t xml:space="preserve">RQ3. </w:t>
      </w:r>
      <w:r>
        <w:t xml:space="preserve">What managerial insights emerge from the longitudinal monitoring of recurring problems?</w:t>
      </w:r>
    </w:p>
    <w:p>
      <w:pPr>
        <w:spacing w:after="160" w:before="0" w:line="276"/>
        <w:jc w:val="both"/>
      </w:pPr>
      <w:r>
        <w:t xml:space="preserve">Our contribution is both methodological and applied. Methodologically, we propose a combined distance matrix that integrates semantic similarity and temporal proximity into a single clustering criterion, on the premise that two semantically similar segments separated by a long time interval are unlikely to describe the same live problem. In applied terms, the framework converts unstructured minutes into a longitudinal, monitorable indicator of problem persistence, closing the organizational learning loop and providing decision makers with an actionable watchlist. We adopt a design science research lens [2], in which the artifact is the analytical framework and the evaluation is its instantiation on a real organizational corpus.</w:t>
      </w:r>
    </w:p>
    <w:p>
      <w:pPr>
        <w:spacing w:after="160" w:before="0" w:line="276"/>
        <w:jc w:val="both"/>
      </w:pPr>
      <w:r>
        <w:t xml:space="preserve">The remainder of the paper is organized as follows. Section 2 reviews related work. Section 3 details the research method and the proposed framework. Section 4 reports the evaluation results. Section 5 discusses theoretical and managerial implications. Section 6 states limitations and future research, and Section 7 concludes.</w:t>
      </w:r>
    </w:p>
    <w:p>
      <w:pPr>
        <w:pStyle w:val="Heading1"/>
        <w:spacing w:after="140" w:before="280"/>
      </w:pPr>
      <w:r>
        <w:t xml:space="preserve">2. Related work</w:t>
      </w:r>
    </w:p>
    <w:p>
      <w:pPr>
        <w:spacing w:after="160" w:before="0" w:line="276"/>
        <w:jc w:val="both"/>
      </w:pPr>
      <w:r>
        <w:t xml:space="preserve">The study integrates three strands of research that, individually, do not cover the use case addressed here.</w:t>
      </w:r>
    </w:p>
    <w:p>
      <w:pPr>
        <w:pStyle w:val="Heading2"/>
        <w:spacing w:after="100" w:before="200"/>
      </w:pPr>
      <w:r>
        <w:t xml:space="preserve">2.1. Text classification for organizational decision support</w:t>
      </w:r>
    </w:p>
    <w:p>
      <w:pPr>
        <w:spacing w:after="160" w:before="0" w:line="276"/>
        <w:jc w:val="both"/>
      </w:pPr>
      <w:r>
        <w:t xml:space="preserve">Text mining has been positioned as a way to extend decision support beyond structured data, transforming natural language into actionable results and managing information overload [4]. Recent reviews synthesize the use of pre-trained language models for domain-specific text classification [5] and compare contextual models such as BERT [7] against traditional machine learning pipelines [6]. Support vector machines over term-frequency representations remain strong and interpretable baselines for text categorization [17], [18], [21]. The specific task of classifying problem entries in internal minutes, however, is not addressed by this literature.</w:t>
      </w:r>
    </w:p>
    <w:p>
      <w:pPr>
        <w:pStyle w:val="Heading2"/>
        <w:spacing w:after="100" w:before="200"/>
      </w:pPr>
      <w:r>
        <w:t xml:space="preserve">2.2. Semantic clustering and topic discovery</w:t>
      </w:r>
    </w:p>
    <w:p>
      <w:pPr>
        <w:spacing w:after="160" w:before="0" w:line="276"/>
        <w:jc w:val="both"/>
      </w:pPr>
      <w:r>
        <w:t xml:space="preserve">Semantic approaches combine transformer-based sentence embeddings [8] with clustering to discover themes, as popularized by neural topic modeling with class-based TF-IDF [10] and by probabilistic topic models [16]. Density-based clustering through hierarchical density estimates [12] and its HDBSCAN implementation [11] handle noise and non-spherical clusters without a pre-specified number of clusters. Embedding-and-cluster pipelines have been applied to surface latent themes from text [13]. The integration of semantic similarity with temporal proximity in a single distance, oriented to recurring problems, is a methodological gap we address.</w:t>
      </w:r>
    </w:p>
    <w:p>
      <w:pPr>
        <w:pStyle w:val="Heading2"/>
        <w:spacing w:after="100" w:before="200"/>
      </w:pPr>
      <w:r>
        <w:t xml:space="preserve">2.3. Longitudinal problem tracking and organizational learning</w:t>
      </w:r>
    </w:p>
    <w:p>
      <w:pPr>
        <w:spacing w:after="160" w:before="0" w:line="276"/>
        <w:jc w:val="both"/>
      </w:pPr>
      <w:r>
        <w:t xml:space="preserve">Decision support systems have long been linked to organizational learning [19], [20], yet most text-analytic work targets external sources such as news for corporate risk detection [14] or financial sentiment [15]. We are not aware of a framework that longitudinally tracks the persistence of problems from internal unstructured records such as meeting minutes. This work unifies the three strands into a single pipeline that classifies, clusters, and longitudinally monitors problems in real corporate minutes.</w:t>
      </w:r>
    </w:p>
    <w:p>
      <w:pPr>
        <w:pStyle w:val="Heading1"/>
        <w:spacing w:after="140" w:before="280"/>
      </w:pPr>
      <w:r>
        <w:t xml:space="preserve">3. Research method and proposed framework</w:t>
      </w:r>
    </w:p>
    <w:p>
      <w:pPr>
        <w:pStyle w:val="Heading2"/>
        <w:spacing w:after="100" w:before="200"/>
      </w:pPr>
      <w:r>
        <w:t xml:space="preserve">3.1. Research approach</w:t>
      </w:r>
    </w:p>
    <w:p>
      <w:pPr>
        <w:spacing w:after="160" w:before="0" w:line="276"/>
        <w:jc w:val="both"/>
      </w:pPr>
      <w:r>
        <w:t xml:space="preserve">We follow a design science research approach [2]: the artifact is an end-to-end analytical framework, and its utility is demonstrated by instantiating it on a real organizational corpus and evaluating each stage against quantitative and qualitative criteria. The framework comprises four stages — corpus construction and anonymization, supervised problem classification, semantic–temporal clustering, and longitudinal monitoring — described below.</w:t>
      </w:r>
    </w:p>
    <w:p>
      <w:pPr>
        <w:pStyle w:val="Heading2"/>
        <w:spacing w:after="100" w:before="200"/>
      </w:pPr>
      <w:r>
        <w:t xml:space="preserve">3.2. Corpus and anonymization</w:t>
      </w:r>
    </w:p>
    <w:p>
      <w:pPr>
        <w:spacing w:after="160" w:before="0" w:line="276"/>
        <w:jc w:val="both"/>
      </w:pPr>
      <w:r>
        <w:t xml:space="preserve">The corpus consists of 374 real meeting minutes from one organization, covering 11 business areas over 40 months (2023–2025). To preserve confidentiality, all named entities were replaced by consistent codes: projects (P-n), companies and suppliers (C-n), business areas (Area 1–11), locations (L-n), and sectors (A-n). The anonymization preserves the relational structure of the text — allowing the same project or supplier to be traced over time — without exposing sensitive information. Each document was exploded into lines (6,480 lines), then a coarse cleaning step removed structural noise (empty lines, decorative markers, template boilerplate, placeholders, and lines shorter than 25 characters or four words), leaving 3,603 segments. Each segment was tagged with temporal metadata (month and year) and the originating area.</w:t>
      </w:r>
    </w:p>
    <w:p>
      <w:pPr>
        <w:pStyle w:val="Heading2"/>
        <w:spacing w:after="100" w:before="200"/>
      </w:pPr>
      <w:r>
        <w:t xml:space="preserve">3.3. Problem classification (RQ1)</w:t>
      </w:r>
    </w:p>
    <w:p>
      <w:pPr>
        <w:spacing w:after="160" w:before="0" w:line="276"/>
        <w:jc w:val="both"/>
      </w:pPr>
      <w:r>
        <w:t xml:space="preserve">A training set of 2,384 segments was labeled as problem or non-problem (33.6% problem, 66.4% non-problem), comprising 2,036 real and 348 synthetic segments. Synthetic segments were generated to reinforce decision boundaries and balance the minority class, retained only at high confidence, and subjected to a manual quality audit on a stratified random sample [report audited share of correct labels]. We benchmarked nine combinations of three classifiers (linear SVM, multinomial Naive Bayes, random forest) and three representations (TF-IDF, Word2Vec, frozen BERT embeddings) under stratified cross-validation, reporting F1, F2, precision, and recall, with balanced class weights to mitigate imbalance.</w:t>
      </w:r>
    </w:p>
    <w:p>
      <w:pPr>
        <w:spacing w:after="160" w:before="0" w:line="276"/>
        <w:jc w:val="both"/>
      </w:pPr>
      <w:r>
        <w:t xml:space="preserve">Error analysis showed that heavy linguistic preprocessing degraded performance by destroying domain-discriminative markers (e.g., the markers “P.A.” and “P.P.” and project codes), whereas character-level features over raw text were robust to morphology and noise. The final configuration is therefore a linear SVM over character n-gram TF-IDF (analyzer over word-bounded character sequences, n-gram range 2–5, sublinear term frequency) applied to raw text. Because, in a governance context, failing to detect a problem (a false negative) is more costly than a false alarm (a false positive), model selection prioritized the F2 score and the decision threshold was tuned on cross-validated scores subject to a minimum recall. The selected model and threshold were then applied to the full real corpus.</w:t>
      </w:r>
    </w:p>
    <w:p>
      <w:pPr>
        <w:pStyle w:val="Heading2"/>
        <w:spacing w:after="100" w:before="200"/>
      </w:pPr>
      <w:r>
        <w:t xml:space="preserve">3.4. Semantic–temporal clustering (RQ2)</w:t>
      </w:r>
    </w:p>
    <w:p>
      <w:pPr>
        <w:spacing w:after="160" w:before="0" w:line="276"/>
        <w:jc w:val="both"/>
      </w:pPr>
      <w:r>
        <w:t xml:space="preserve">Segments classified as problems were embedded with the multilingual sentence encoder paraphrase-multilingual-MiniLM-L12-v2 (384 dimensions, L2-normalized) [8]. We then built a combined distance matrix</w:t>
      </w:r>
    </w:p>
    <w:p>
      <w:pPr>
        <w:spacing w:after="60" w:before="60"/>
        <w:jc w:val="center"/>
      </w:pPr>
      <w:r>
        <w:rPr>
          <w:i/>
          <w:iCs/>
        </w:rPr>
        <w:t xml:space="preserve">D = (1 − w) · D</w:t>
      </w:r>
      <w:r>
        <w:rPr>
          <w:i/>
          <w:iCs/>
          <w:vertAlign w:val="subscript"/>
        </w:rPr>
        <w:t xml:space="preserve">semantic</w:t>
      </w:r>
      <w:r>
        <w:rPr>
          <w:i/>
          <w:iCs/>
        </w:rPr>
        <w:t xml:space="preserve"> + w · D</w:t>
      </w:r>
      <w:r>
        <w:rPr>
          <w:i/>
          <w:iCs/>
          <w:vertAlign w:val="subscript"/>
        </w:rPr>
        <w:t xml:space="preserve">temporal</w:t>
      </w:r>
      <w:r>
        <w:rPr>
          <w:i/>
          <w:iCs/>
        </w:rPr>
        <w:t xml:space="preserve">,   w = 0.25,</w:t>
      </w:r>
    </w:p>
    <w:p>
      <w:pPr>
        <w:spacing w:after="160" w:before="0" w:line="276"/>
        <w:jc w:val="both"/>
      </w:pPr>
      <w:r>
        <w:t xml:space="preserve">where D-semantic is the cosine distance between embeddings and D-temporal is the gap in months between segments, normalized and capped at a ceiling (10 months). The intuition is that two semantically close segments separated by many months are unlikely to describe the continuation of the same problem. Clustering used HDBSCAN [11], [12] over the precomputed matrix (minimum cluster size 4, minimum samples 3, excess-of-mass selection), with a membership-probability filter (≥ 0.50). Cluster quality was assessed through the silhouette coefficient, the Davies–Bouldin and Calinski–Harabasz indices, mean intra-cluster cosine cohesion, and the isolation rate.</w:t>
      </w:r>
    </w:p>
    <w:p>
      <w:pPr>
        <w:pStyle w:val="Heading2"/>
        <w:spacing w:after="100" w:before="200"/>
      </w:pPr>
      <w:r>
        <w:t xml:space="preserve">3.5. Longitudinal monitoring (RQ3)</w:t>
      </w:r>
    </w:p>
    <w:p>
      <w:pPr>
        <w:spacing w:after="160" w:before="0" w:line="276"/>
        <w:jc w:val="both"/>
      </w:pPr>
      <w:r>
        <w:t xml:space="preserve">For each cluster, a canonical problem description was derived from its highest-probability member, and persistence metrics were computed: active months, total mentions, start and end periods, and persistence in elapsed months. Problems persisting for more than three months were labeled chronic, and those whose last mention coincides with the final period of the corpus were labeled active. Metrics were also aggregated by business area, and dispersion across areas was summarized with normalized entropy.</w:t>
      </w:r>
    </w:p>
    <w:p>
      <w:pPr>
        <w:pStyle w:val="Heading1"/>
        <w:spacing w:after="140" w:before="280"/>
      </w:pPr>
      <w:r>
        <w:t xml:space="preserve">4. Results</w:t>
      </w:r>
    </w:p>
    <w:p>
      <w:pPr>
        <w:pStyle w:val="Heading2"/>
        <w:spacing w:after="100" w:before="200"/>
      </w:pPr>
      <w:r>
        <w:t xml:space="preserve">4.1. Problem classification (RQ1)</w:t>
      </w:r>
    </w:p>
    <w:p>
      <w:pPr>
        <w:spacing w:after="160" w:before="0" w:line="276"/>
        <w:jc w:val="both"/>
      </w:pPr>
      <w:r>
        <w:t xml:space="preserve">Table 1 reports the performance of the main classifier configurations on the labeled set, using a held-out test split and stratified cross-validation. The original word-level configuration over lemmatized text reached a cross-validated F1 of 0.81 on the problem class. Replacing the representation with character n-grams over raw text raised the cross-validated F1 to 0.88 and the held-out F1 of the problem class to 0.92, with an overall accuracy of 0.94 and a macro F1 of 0.93, at no additional modeling cost. We recommend reporting the cross-validated figure under group-aware splitting as the headline estimate, because recurring problems generate near-duplicate segments that can leak across a random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Configuration (linear SVM, balanced)</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jc w:val="center"/>
            </w:pPr>
            <w:r>
              <w:rPr>
                <w:b/>
                <w:bCs/>
                <w:color w:val="FFFFFF"/>
                <w:sz w:val="19"/>
                <w:szCs w:val="19"/>
              </w:rPr>
              <w:t xml:space="preserve">CV F1 (pos.)</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jc w:val="center"/>
            </w:pPr>
            <w:r>
              <w:rPr>
                <w:b/>
                <w:bCs/>
                <w:color w:val="FFFFFF"/>
                <w:sz w:val="19"/>
                <w:szCs w:val="19"/>
              </w:rPr>
              <w:t xml:space="preserve">Test F1 (pos.)</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jc w:val="center"/>
            </w:pPr>
            <w:r>
              <w:rPr>
                <w:b/>
                <w:bCs/>
                <w:color w:val="FFFFFF"/>
                <w:sz w:val="19"/>
                <w:szCs w:val="19"/>
              </w:rPr>
              <w:t xml:space="preserve">Test acc.</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jc w:val="center"/>
            </w:pPr>
            <w:r>
              <w:rPr>
                <w:b/>
                <w:bCs/>
                <w:color w:val="FFFFFF"/>
                <w:sz w:val="19"/>
                <w:szCs w:val="19"/>
              </w:rPr>
              <w:t xml:space="preserve">Macro F1</w:t>
            </w:r>
          </w:p>
        </w:tc>
      </w:tr>
      <w:tr>
        <w:trPr>
          <w:tblHeader w:val="false"/>
        </w:trPr>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Word n-gram (1–3) over lemmatized text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0.81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0.85</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0.90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0.89</w:t>
            </w:r>
          </w:p>
        </w:tc>
      </w:tr>
      <w:tr>
        <w:trPr>
          <w:tblHeader w:val="false"/>
        </w:trPr>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Word n-gram (1–3) over raw text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0.83</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0.87</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w:t>
            </w:r>
          </w:p>
        </w:tc>
      </w:tr>
      <w:tr>
        <w:trPr>
          <w:tblHeader w:val="false"/>
        </w:trPr>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Character n-gram (3–5) over raw text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0.88</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0.91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0.94</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0.93</w:t>
            </w:r>
          </w:p>
        </w:tc>
      </w:tr>
      <w:tr>
        <w:trPr>
          <w:tblHeader w:val="false"/>
        </w:trPr>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Character n-gram (2–5) over raw text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0.88</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0.92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0.94</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0.93</w:t>
            </w:r>
          </w:p>
        </w:tc>
      </w:tr>
    </w:tbl>
    <w:p>
      <w:pPr>
        <w:spacing w:after="160" w:before="60"/>
        <w:jc w:val="left"/>
      </w:pPr>
      <w:r>
        <w:rPr>
          <w:i/>
          <w:iCs/>
          <w:sz w:val="18"/>
          <w:szCs w:val="18"/>
        </w:rPr>
        <w:t xml:space="preserve">Table 1. Performance of classifier configurations on the labeled set (problem class). Figures from a held-out 20% test split and stratified cross-validation.</w:t>
      </w:r>
    </w:p>
    <w:p>
      <w:pPr>
        <w:spacing w:after="160" w:before="0" w:line="276"/>
        <w:jc w:val="both"/>
      </w:pPr>
      <w:r>
        <w:t xml:space="preserve">Applied to the full corpus at the tuned threshold, the model labeled 963 segments as problems (26.7%) and 2,640 as non-problems, a proportion consistent with the genre: status minutes are dominated by progress and routine, with problems forming a minority but critical share of the content. In response to RQ1, supervised classification identifies problems reliably, and character n-grams over raw text outperform word-level and frozen-embedding representations in this domain.</w:t>
      </w:r>
    </w:p>
    <w:p>
      <w:pPr>
        <w:pStyle w:val="Heading2"/>
        <w:spacing w:after="100" w:before="200"/>
      </w:pPr>
      <w:r>
        <w:t xml:space="preserve">4.2. Semantic–temporal clustering (RQ2)</w:t>
      </w:r>
    </w:p>
    <w:p>
      <w:pPr>
        <w:spacing w:after="160" w:before="0" w:line="276"/>
        <w:jc w:val="both"/>
      </w:pPr>
      <w:r>
        <w:t xml:space="preserve">HDBSCAN over the combined distance produced 59 clusters, grouping 315 problems (32.7%) and leaving 648 isolated (67.3%). Internal metrics indicate well-defined clusters (Table 2): a silhouette of 0.67, a mean intra-cluster cosine cohesion of 0.92 (minimum 0.61), a Calinski–Harabasz index of 26.72, and a Davies–Bouldin index of 1.03. Qualitative inspection confirms semantic coherence; for instance, the largest cluster consolidates textually distinct variants of a single problem — recurring development and delivery delays in the requalification of a shipping module (project P36), flagged by supplier C19 — that a purely lexical grouping would not unite. The high isolation rate (67.3%) is the main limitation of the clustering stage and is discussed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Metric</w:t>
            </w:r>
          </w:p>
        </w:tc>
        <w:tc>
          <w:tcPr>
            <w:tcW w:type="dxa" w:w="234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jc w:val="center"/>
            </w:pPr>
            <w:r>
              <w:rPr>
                <w:b/>
                <w:bCs/>
                <w:color w:val="FFFFFF"/>
                <w:sz w:val="19"/>
                <w:szCs w:val="19"/>
              </w:rPr>
              <w:t xml:space="preserve">Value</w:t>
            </w:r>
          </w:p>
        </w:tc>
        <w:tc>
          <w:tcPr>
            <w:tcW w:type="dxa" w:w="234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jc w:val="center"/>
            </w:pPr>
            <w:r>
              <w:rPr>
                <w:b/>
                <w:bCs/>
                <w:color w:val="FFFFFF"/>
                <w:sz w:val="19"/>
                <w:szCs w:val="19"/>
              </w:rPr>
              <w:t xml:space="preserve">Interpretation</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Clusters formed</w:t>
            </w:r>
          </w:p>
        </w:tc>
        <w:tc>
          <w:tcPr>
            <w:tcW w:type="dxa" w:w="2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59</w:t>
            </w:r>
          </w:p>
        </w:tc>
        <w:tc>
          <w:tcPr>
            <w:tcW w:type="dxa" w:w="2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Recurring-problem groups</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Grouped / isolated</w:t>
            </w:r>
          </w:p>
        </w:tc>
        <w:tc>
          <w:tcPr>
            <w:tcW w:type="dxa" w:w="2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315 / 648</w:t>
            </w:r>
          </w:p>
        </w:tc>
        <w:tc>
          <w:tcPr>
            <w:tcW w:type="dxa" w:w="2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32.7% / 67.3%</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Silhouette</w:t>
            </w:r>
          </w:p>
        </w:tc>
        <w:tc>
          <w:tcPr>
            <w:tcW w:type="dxa" w:w="2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0.67</w:t>
            </w:r>
          </w:p>
        </w:tc>
        <w:tc>
          <w:tcPr>
            <w:tcW w:type="dxa" w:w="2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Well-separated</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Davies–Bouldin</w:t>
            </w:r>
          </w:p>
        </w:tc>
        <w:tc>
          <w:tcPr>
            <w:tcW w:type="dxa" w:w="2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1.03</w:t>
            </w:r>
          </w:p>
        </w:tc>
        <w:tc>
          <w:tcPr>
            <w:tcW w:type="dxa" w:w="2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Low intra/inter ratio</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Calinski–Harabasz</w:t>
            </w:r>
          </w:p>
        </w:tc>
        <w:tc>
          <w:tcPr>
            <w:tcW w:type="dxa" w:w="2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26.72</w:t>
            </w:r>
          </w:p>
        </w:tc>
        <w:tc>
          <w:tcPr>
            <w:tcW w:type="dxa" w:w="2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Compact clusters</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Mean intra-cluster cohesion</w:t>
            </w:r>
          </w:p>
        </w:tc>
        <w:tc>
          <w:tcPr>
            <w:tcW w:type="dxa" w:w="2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0.92</w:t>
            </w:r>
          </w:p>
        </w:tc>
        <w:tc>
          <w:tcPr>
            <w:tcW w:type="dxa" w:w="2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High semantic coherence</w:t>
            </w:r>
          </w:p>
        </w:tc>
      </w:tr>
    </w:tbl>
    <w:p>
      <w:pPr>
        <w:spacing w:after="160" w:before="60"/>
        <w:jc w:val="left"/>
      </w:pPr>
      <w:r>
        <w:rPr>
          <w:i/>
          <w:iCs/>
          <w:sz w:val="18"/>
          <w:szCs w:val="18"/>
        </w:rPr>
        <w:t xml:space="preserve">Table 2. Clustering quality metrics for the semantic–temporal HDBSCAN solution.</w:t>
      </w:r>
    </w:p>
    <w:p>
      <w:pPr>
        <w:spacing w:after="160" w:before="0" w:line="276"/>
        <w:jc w:val="both"/>
      </w:pPr>
      <w:r>
        <w:t xml:space="preserve">In response to RQ2, the semantic–temporal clustering consolidates lexically distinct but semantically equivalent problems into internally coherent clusters; coverage, however, is partial, and a share of the isolated problems are likely false isolations.</w:t>
      </w:r>
    </w:p>
    <w:p>
      <w:pPr>
        <w:pStyle w:val="Heading2"/>
        <w:spacing w:after="100" w:before="200"/>
      </w:pPr>
      <w:r>
        <w:t xml:space="preserve">4.3. Longitudinal insights (RQ3)</w:t>
      </w:r>
    </w:p>
    <w:p>
      <w:pPr>
        <w:spacing w:after="160" w:before="0" w:line="276"/>
        <w:jc w:val="both"/>
      </w:pPr>
      <w:r>
        <w:t xml:space="preserve">Temporal coverage is complete: all 40 months contain at least one problem. Problem persistence follows a strongly right-skewed distribution (skewness 3.93): the mean is 1.3 months and the median is 1 month, but the tail extends to 9 months. Chronic problems (more than three months) number 41 (5.8%), and 22 problems (3.1%) were still active in the final observed period. The most persistent problem — the requalification of a shipping module (P36), with nine months of persistence and 15 mentions between March and November 2024 — exemplifies the chronic risk that escapes manual review: recurring delays from the same supplier (C19) with direct impact on go-live. Table 3 illustrates representative chronic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300"/>
        <w:gridCol w:w="1300"/>
        <w:gridCol w:w="2400"/>
      </w:tblGrid>
      <w:tr>
        <w:trPr>
          <w:tblHeader/>
        </w:trPr>
        <w:tc>
          <w:tcPr>
            <w:tcW w:type="dxa" w:w="4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jc w:val="left"/>
            </w:pPr>
            <w:r>
              <w:rPr>
                <w:b/>
                <w:bCs/>
                <w:color w:val="FFFFFF"/>
                <w:sz w:val="19"/>
                <w:szCs w:val="19"/>
              </w:rPr>
              <w:t xml:space="preserve">Canonical problem (anonymized)</w:t>
            </w:r>
          </w:p>
        </w:tc>
        <w:tc>
          <w:tcPr>
            <w:tcW w:type="dxa" w:w="1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jc w:val="center"/>
            </w:pPr>
            <w:r>
              <w:rPr>
                <w:b/>
                <w:bCs/>
                <w:color w:val="FFFFFF"/>
                <w:sz w:val="19"/>
                <w:szCs w:val="19"/>
              </w:rPr>
              <w:t xml:space="preserve">Area</w:t>
            </w:r>
          </w:p>
        </w:tc>
        <w:tc>
          <w:tcPr>
            <w:tcW w:type="dxa" w:w="1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jc w:val="center"/>
            </w:pPr>
            <w:r>
              <w:rPr>
                <w:b/>
                <w:bCs/>
                <w:color w:val="FFFFFF"/>
                <w:sz w:val="19"/>
                <w:szCs w:val="19"/>
              </w:rPr>
              <w:t xml:space="preserve">Months</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jc w:val="center"/>
            </w:pPr>
            <w:r>
              <w:rPr>
                <w:b/>
                <w:bCs/>
                <w:color w:val="FFFFFF"/>
                <w:sz w:val="19"/>
                <w:szCs w:val="19"/>
              </w:rPr>
              <w:t xml:space="preserve">Nature</w:t>
            </w:r>
          </w:p>
        </w:tc>
      </w:tr>
      <w:tr>
        <w:trPr>
          <w:tblHeader w:val="false"/>
        </w:trPr>
        <w:tc>
          <w:tcPr>
            <w:tcW w:type="dxa" w:w="4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Recurring delivery delays in shipping-module requalification (P36); supplier C19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10</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Chronic supplier delay</w:t>
            </w:r>
          </w:p>
        </w:tc>
      </w:tr>
      <w:tr>
        <w:trPr>
          <w:tblHeader w:val="false"/>
        </w:trPr>
        <w:tc>
          <w:tcPr>
            <w:tcW w:type="dxa" w:w="4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Product freeze (P48/P76/P77) pending replacement by P39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Portfolio decision</w:t>
            </w:r>
          </w:p>
        </w:tc>
      </w:tr>
      <w:tr>
        <w:trPr>
          <w:tblHeader w:val="false"/>
        </w:trPr>
        <w:tc>
          <w:tcPr>
            <w:tcW w:type="dxa" w:w="4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left"/>
            </w:pPr>
            <w:r>
              <w:rPr>
                <w:b w:val="false"/>
                <w:bCs w:val="false"/>
                <w:color w:val="000000"/>
                <w:sz w:val="19"/>
                <w:szCs w:val="19"/>
              </w:rPr>
              <w:t xml:space="preserve">Delayed tender for supplier continuity (P46/P79); +budget needed</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jc w:val="center"/>
            </w:pPr>
            <w:r>
              <w:rPr>
                <w:b w:val="false"/>
                <w:bCs w:val="false"/>
                <w:color w:val="000000"/>
                <w:sz w:val="19"/>
                <w:szCs w:val="19"/>
              </w:rPr>
              <w:t xml:space="preserve">Procurement / contract</w:t>
            </w:r>
          </w:p>
        </w:tc>
      </w:tr>
    </w:tbl>
    <w:p>
      <w:pPr>
        <w:spacing w:after="160" w:before="60"/>
        <w:jc w:val="left"/>
      </w:pPr>
      <w:r>
        <w:rPr>
          <w:i/>
          <w:iCs/>
          <w:sz w:val="18"/>
          <w:szCs w:val="18"/>
        </w:rPr>
        <w:t xml:space="preserve">Table 3. Illustrative chronic problem clusters (anonymized). Area labels follow the anonymization scheme.</w:t>
      </w:r>
    </w:p>
    <w:p>
      <w:pPr>
        <w:spacing w:after="160" w:before="0" w:line="276"/>
        <w:jc w:val="both"/>
      </w:pPr>
      <w:r>
        <w:t xml:space="preserve">Across areas, Area 10 concentrates the largest volume (126 problems, 17.8%), with an operational profile, whereas Area 11 shows the highest mean persistence (1.77 months) despite a small caseload (13 problems) — a signal of small but sticky problems. The normalized entropy of the area distribution (0.914) indicates that risk is diffuse rather than concentrated in a single area. In response to RQ3, longitudinal monitoring exposes (i) chronic, low-complexity, high-persistence problems, (ii) concentrated supplier risk, (iii) an area-level governance profile, and (iv) an automatic watchlist of active problems.</w:t>
      </w:r>
    </w:p>
    <w:p>
      <w:pPr>
        <w:pStyle w:val="Heading1"/>
        <w:spacing w:after="140" w:before="280"/>
      </w:pPr>
      <w:r>
        <w:t xml:space="preserve">5. Discussion</w:t>
      </w:r>
    </w:p>
    <w:p>
      <w:pPr>
        <w:pStyle w:val="Heading2"/>
        <w:spacing w:after="100" w:before="200"/>
      </w:pPr>
      <w:r>
        <w:t xml:space="preserve">5.1. Implications for decision support and theory</w:t>
      </w:r>
    </w:p>
    <w:p>
      <w:pPr>
        <w:spacing w:after="160" w:before="0" w:line="276"/>
        <w:jc w:val="both"/>
      </w:pPr>
      <w:r>
        <w:t xml:space="preserve">The framework reframes meeting minutes as a data source for decision support, extending text-mining-based decision support [4] to the under-studied setting of internal organizational records. Its core contribution is to convert dispersed tacit knowledge into a monitorable persistence indicator, operationalizing the long-posited link between decision support systems and organizational learning [19], [20]. The combined semantic–temporal distance is a transferable methodological device for any recurring-event detection task in which time should moderate semantic similarity.</w:t>
      </w:r>
    </w:p>
    <w:p>
      <w:pPr>
        <w:pStyle w:val="Heading2"/>
        <w:spacing w:after="100" w:before="200"/>
      </w:pPr>
      <w:r>
        <w:t xml:space="preserve">5.2. Managerial implications</w:t>
      </w:r>
    </w:p>
    <w:p>
      <w:pPr>
        <w:spacing w:after="160" w:before="0" w:line="276"/>
        <w:jc w:val="both"/>
      </w:pPr>
      <w:r>
        <w:t xml:space="preserve">In practical terms, the value is not classifying minutes but isolating problems that should be simple yet are taking too long — stalled approvals and budgets, dragging contractual amendments, and recurring supplier delays — precisely where governance intervention yields the highest return. The worst cluster points to recurring delays from a single supplier, turning the pipeline into an input for supplier and contract management. The area-level profile provides a governance heat map, and the set of problems still active in the final period constitutes a ready-made watchlist for the next status meeting, with no manual effort. Hundreds of minutes per year across areas make manual review infeasible; the framework provides triage in seconds.</w:t>
      </w:r>
    </w:p>
    <w:p>
      <w:pPr>
        <w:pStyle w:val="Heading2"/>
        <w:spacing w:after="100" w:before="200"/>
      </w:pPr>
      <w:r>
        <w:t xml:space="preserve">5.3. Auditing the minute-taking instrument</w:t>
      </w:r>
    </w:p>
    <w:p>
      <w:pPr>
        <w:spacing w:after="160" w:before="0" w:line="276"/>
        <w:jc w:val="both"/>
      </w:pPr>
      <w:r>
        <w:t xml:space="preserve">A relevant side finding is that the pipeline exposed template boilerplate leaking as a false problem — a mandatory fill-in field repeated for months that was classified as a problem and clustered over time. Beyond motivating a refinement of the noise filter, this demonstrates a collateral capability: the framework can audit the quality of the recording process itself and suggest improvements to the minutes template.</w:t>
      </w:r>
    </w:p>
    <w:p>
      <w:pPr>
        <w:pStyle w:val="Heading1"/>
        <w:spacing w:after="140" w:before="280"/>
      </w:pPr>
      <w:r>
        <w:t xml:space="preserve">6. Limitations and future research</w:t>
      </w:r>
    </w:p>
    <w:p>
      <w:pPr>
        <w:spacing w:after="160" w:before="0" w:line="276"/>
        <w:jc w:val="both"/>
      </w:pPr>
      <w:r>
        <w:t xml:space="preserve">The main limitation is the high isolation rate in the clustering stage (67.3%). Part of these isolated items are likely false isolations: problems that would belong to existing clusters but were excluded by the combination of restrictive parameters (minimum cluster size and samples, membership-probability filter) and by the temporal weight, which fragments long-running problems. Consequently, the persistence metrics should be read as a lower bound: true recurrence is probably higher than observed. A nearest-centroid diagnostic over the isolated items, together with a small parameter grid, is a direct next step to quantify and reduce false isolation.</w:t>
      </w:r>
    </w:p>
    <w:p>
      <w:pPr>
        <w:spacing w:after="160" w:before="0" w:line="276"/>
        <w:jc w:val="both"/>
      </w:pPr>
      <w:r>
        <w:t xml:space="preserve">Other limitations include the dependence on the de-anonymization key to fully validate area coherence, which is restricted to the organization; the single-organization corpus, which limits generalizability; the operational convention used to define chronic problems; and the potential bias introduced by synthetic training examples, which warrants an ablation study. Future work will (i) reduce isolation through parameter tuning and a revised temporal weight, (ii) raise the classifier ceiling by fine-tuning a Portuguese transformer such as BERTimbau [9] rather than using frozen embeddings, (iii) generate canonical cluster descriptions automatically through summarization, (iv) validate the framework on corpora from other organizations, and (v) integrate the persistence indicator into a near-real-time governance dashboard.</w:t>
      </w:r>
    </w:p>
    <w:p>
      <w:pPr>
        <w:pStyle w:val="Heading1"/>
        <w:spacing w:after="140" w:before="280"/>
      </w:pPr>
      <w:r>
        <w:t xml:space="preserve">7. Conclusion</w:t>
      </w:r>
    </w:p>
    <w:p>
      <w:pPr>
        <w:spacing w:after="160" w:before="0" w:line="276"/>
        <w:jc w:val="both"/>
      </w:pPr>
      <w:r>
        <w:t xml:space="preserve">We presented an NLP framework that classifies, clusters, and longitudinally monitors organizational problems from real, unstructured meeting minutes. The classifier identifies problems reliably; the semantic–temporal clustering consolidates recurring problems into coherent clusters; and the longitudinal analysis yields actionable managerial insights on persistence, area-level concentration, and supplier risk, while also auditing the recording instrument. By turning a dead archive into a monitorable governance KPI, the framework closes an organizational learning loop and offers decision makers an early-warning capability that manual review cannot provide at scale.</w:t>
      </w:r>
    </w:p>
    <w:p>
      <w:pPr>
        <w:pStyle w:val="Heading1"/>
        <w:spacing w:after="140" w:before="280"/>
      </w:pPr>
      <w:r>
        <w:t xml:space="preserve">CRediT authorship contribution statement</w:t>
      </w:r>
    </w:p>
    <w:p>
      <w:pPr>
        <w:spacing w:after="160" w:before="0" w:line="276"/>
        <w:jc w:val="both"/>
      </w:pPr>
      <w:r>
        <w:t xml:space="preserve">Paulo A. Moreira: Conceptualization, Methodology, Software, Formal analysis, Investigation, Data curation, Writing – original draft, Writing – review &amp; editing, Visualization. [Co-author]: Supervision, Methodology, Writing – review &amp; editing. [Co-author]: Validation, Writing – review &amp; editing.</w:t>
      </w:r>
    </w:p>
    <w:p>
      <w:pPr>
        <w:pStyle w:val="Heading1"/>
        <w:spacing w:after="140" w:before="280"/>
      </w:pPr>
      <w:r>
        <w:t xml:space="preserve">Declaration of competing interest</w:t>
      </w:r>
    </w:p>
    <w:p>
      <w:pPr>
        <w:spacing w:after="160" w:before="0" w:line="276"/>
        <w:jc w:val="both"/>
      </w:pPr>
      <w:r>
        <w:t xml:space="preserve">The authors declare that they have no known competing financial interests or personal relationships that could have appeared to influence the work reported in this paper.</w:t>
      </w:r>
    </w:p>
    <w:p>
      <w:pPr>
        <w:pStyle w:val="Heading1"/>
        <w:spacing w:after="140" w:before="280"/>
      </w:pPr>
      <w:r>
        <w:t xml:space="preserve">Data availability</w:t>
      </w:r>
    </w:p>
    <w:p>
      <w:pPr>
        <w:spacing w:after="160" w:before="0" w:line="276"/>
        <w:jc w:val="both"/>
      </w:pPr>
      <w:r>
        <w:t xml:space="preserve">The corpus consists of confidential corporate meeting minutes and cannot be shared. Anonymized derived artifacts and code may be made available by the corresponding author upon reasonable request, subject to the organization's approval.</w:t>
      </w:r>
    </w:p>
    <w:p>
      <w:pPr>
        <w:pStyle w:val="Heading1"/>
        <w:spacing w:after="140" w:before="280"/>
      </w:pPr>
      <w:r>
        <w:t xml:space="preserve">Acknowledgements</w:t>
      </w:r>
    </w:p>
    <w:p>
      <w:pPr>
        <w:spacing w:after="160" w:before="0" w:line="276"/>
        <w:jc w:val="both"/>
      </w:pPr>
      <w:r>
        <w:t xml:space="preserve">[Optional: funding, program, and institutional acknowledgements.]</w:t>
      </w:r>
    </w:p>
    <w:p>
      <w:pPr>
        <w:pStyle w:val="Heading1"/>
        <w:spacing w:after="140" w:before="280"/>
      </w:pPr>
      <w:r>
        <w:t xml:space="preserve">References</w:t>
      </w:r>
    </w:p>
    <w:p>
      <w:pPr>
        <w:spacing w:after="80" w:line="252"/>
        <w:ind w:left="360" w:hanging="360"/>
        <w:jc w:val="both"/>
      </w:pPr>
      <w:r>
        <w:rPr>
          <w:b w:val="false"/>
          <w:bCs w:val="false"/>
        </w:rPr>
        <w:t xml:space="preserve">[1] </w:t>
      </w:r>
      <w:r>
        <w:t xml:space="preserve">R.H. Sprague, A framework for the development of decision support systems, MIS Quarterly 4 (4) (1980) 1–26.</w:t>
      </w:r>
    </w:p>
    <w:p>
      <w:pPr>
        <w:spacing w:after="80" w:line="252"/>
        <w:ind w:left="360" w:hanging="360"/>
        <w:jc w:val="both"/>
      </w:pPr>
      <w:r>
        <w:rPr>
          <w:b w:val="false"/>
          <w:bCs w:val="false"/>
        </w:rPr>
        <w:t xml:space="preserve">[2] </w:t>
      </w:r>
      <w:r>
        <w:t xml:space="preserve">A.R. Hevner, S.T. March, J. Park, S. Ram, Design science in information systems research, MIS Quarterly 28 (1) (2004) 75–105.</w:t>
      </w:r>
    </w:p>
    <w:p>
      <w:pPr>
        <w:spacing w:after="80" w:line="252"/>
        <w:ind w:left="360" w:hanging="360"/>
        <w:jc w:val="both"/>
      </w:pPr>
      <w:r>
        <w:rPr>
          <w:b w:val="false"/>
          <w:bCs w:val="false"/>
        </w:rPr>
        <w:t xml:space="preserve">[3] </w:t>
      </w:r>
      <w:r>
        <w:t xml:space="preserve">Y. Kang, Z. Cai, C.-W. Tan, Q. Huang, H. Liu, Natural language processing (NLP) in management research: a literature review, Journal of Management Analytics 7 (2) (2020) 139–172.</w:t>
      </w:r>
    </w:p>
    <w:p>
      <w:pPr>
        <w:spacing w:after="80" w:line="252"/>
        <w:ind w:left="360" w:hanging="360"/>
        <w:jc w:val="both"/>
      </w:pPr>
      <w:r>
        <w:rPr>
          <w:b w:val="false"/>
          <w:bCs w:val="false"/>
        </w:rPr>
        <w:t xml:space="preserve">[4] </w:t>
      </w:r>
      <w:r>
        <w:t xml:space="preserve">Y. Jung, Y. Suh, Mining the voice of employees: a text mining approach to identifying and analyzing job satisfaction factors from online employee reviews, Decision Support Systems 123 (2019) 113074.</w:t>
      </w:r>
    </w:p>
    <w:p>
      <w:pPr>
        <w:spacing w:after="80" w:line="252"/>
        <w:ind w:left="360" w:hanging="360"/>
        <w:jc w:val="both"/>
      </w:pPr>
      <w:r>
        <w:rPr>
          <w:b w:val="false"/>
          <w:bCs w:val="false"/>
        </w:rPr>
        <w:t xml:space="preserve">[5] </w:t>
      </w:r>
      <w:r>
        <w:t xml:space="preserve">Z. Rostam, et al., Advances in pre-trained language models for domain-specific text classification: a systematic review, (2025).</w:t>
      </w:r>
    </w:p>
    <w:p>
      <w:pPr>
        <w:spacing w:after="80" w:line="252"/>
        <w:ind w:left="360" w:hanging="360"/>
        <w:jc w:val="both"/>
      </w:pPr>
      <w:r>
        <w:rPr>
          <w:b w:val="false"/>
          <w:bCs w:val="false"/>
        </w:rPr>
        <w:t xml:space="preserve">[6] </w:t>
      </w:r>
      <w:r>
        <w:t xml:space="preserve">S. Gonzalez-Carvajal, E.C. Garrido-Merchan, Comparing BERT against traditional machine learning text classification, arXiv:2005.13012 (2020).</w:t>
      </w:r>
    </w:p>
    <w:p>
      <w:pPr>
        <w:spacing w:after="80" w:line="252"/>
        <w:ind w:left="360" w:hanging="360"/>
        <w:jc w:val="both"/>
      </w:pPr>
      <w:r>
        <w:rPr>
          <w:b w:val="false"/>
          <w:bCs w:val="false"/>
        </w:rPr>
        <w:t xml:space="preserve">[7] </w:t>
      </w:r>
      <w:r>
        <w:t xml:space="preserve">J. Devlin, M.-W. Chang, K. Lee, K. Toutanova, BERT: pre-training of deep bidirectional transformers for language understanding, in: Proc. NAACL-HLT, 2019, pp. 4171–4186.</w:t>
      </w:r>
    </w:p>
    <w:p>
      <w:pPr>
        <w:spacing w:after="80" w:line="252"/>
        <w:ind w:left="360" w:hanging="360"/>
        <w:jc w:val="both"/>
      </w:pPr>
      <w:r>
        <w:rPr>
          <w:b w:val="false"/>
          <w:bCs w:val="false"/>
        </w:rPr>
        <w:t xml:space="preserve">[8] </w:t>
      </w:r>
      <w:r>
        <w:t xml:space="preserve">N. Reimers, I. Gurevych, Sentence-BERT: sentence embeddings using Siamese BERT-networks, in: Proc. EMNLP-IJCNLP, 2019, pp. 3982–3992.</w:t>
      </w:r>
    </w:p>
    <w:p>
      <w:pPr>
        <w:spacing w:after="80" w:line="252"/>
        <w:ind w:left="360" w:hanging="360"/>
        <w:jc w:val="both"/>
      </w:pPr>
      <w:r>
        <w:rPr>
          <w:b w:val="false"/>
          <w:bCs w:val="false"/>
        </w:rPr>
        <w:t xml:space="preserve">[9] </w:t>
      </w:r>
      <w:r>
        <w:t xml:space="preserve">F. Souza, R. Nogueira, R. Lotufo, BERTimbau: pretrained BERT models for Brazilian Portuguese, in: Proc. BRACIS, 2020, pp. 403–417.</w:t>
      </w:r>
    </w:p>
    <w:p>
      <w:pPr>
        <w:spacing w:after="80" w:line="252"/>
        <w:ind w:left="360" w:hanging="360"/>
        <w:jc w:val="both"/>
      </w:pPr>
      <w:r>
        <w:rPr>
          <w:b w:val="false"/>
          <w:bCs w:val="false"/>
        </w:rPr>
        <w:t xml:space="preserve">[10] </w:t>
      </w:r>
      <w:r>
        <w:t xml:space="preserve">M. Grootendorst, BERTopic: neural topic modeling with a class-based TF-IDF procedure, arXiv:2203.05794 (2022).</w:t>
      </w:r>
    </w:p>
    <w:p>
      <w:pPr>
        <w:spacing w:after="80" w:line="252"/>
        <w:ind w:left="360" w:hanging="360"/>
        <w:jc w:val="both"/>
      </w:pPr>
      <w:r>
        <w:rPr>
          <w:b w:val="false"/>
          <w:bCs w:val="false"/>
        </w:rPr>
        <w:t xml:space="preserve">[11] </w:t>
      </w:r>
      <w:r>
        <w:t xml:space="preserve">L. McInnes, J. Healy, S. Astels, hdbscan: hierarchical density based clustering, Journal of Open Source Software 2 (11) (2017) 205.</w:t>
      </w:r>
    </w:p>
    <w:p>
      <w:pPr>
        <w:spacing w:after="80" w:line="252"/>
        <w:ind w:left="360" w:hanging="360"/>
        <w:jc w:val="both"/>
      </w:pPr>
      <w:r>
        <w:rPr>
          <w:b w:val="false"/>
          <w:bCs w:val="false"/>
        </w:rPr>
        <w:t xml:space="preserve">[12] </w:t>
      </w:r>
      <w:r>
        <w:t xml:space="preserve">R.J.G.B. Campello, D. Moulavi, J. Sander, Density-based clustering based on hierarchical density estimates, in: Proc. PAKDD, 2013, pp. 160–172.</w:t>
      </w:r>
    </w:p>
    <w:p>
      <w:pPr>
        <w:spacing w:after="80" w:line="252"/>
        <w:ind w:left="360" w:hanging="360"/>
        <w:jc w:val="both"/>
      </w:pPr>
      <w:r>
        <w:rPr>
          <w:b w:val="false"/>
          <w:bCs w:val="false"/>
        </w:rPr>
        <w:t xml:space="preserve">[13] </w:t>
      </w:r>
      <w:r>
        <w:t xml:space="preserve">M. Mersha, et al., Semantic-driven topic modeling using transformer-based embeddings and clustering algorithms, (2024).</w:t>
      </w:r>
    </w:p>
    <w:p>
      <w:pPr>
        <w:spacing w:after="80" w:line="252"/>
        <w:ind w:left="360" w:hanging="360"/>
        <w:jc w:val="both"/>
      </w:pPr>
      <w:r>
        <w:rPr>
          <w:b w:val="false"/>
          <w:bCs w:val="false"/>
        </w:rPr>
        <w:t xml:space="preserve">[14] </w:t>
      </w:r>
      <w:r>
        <w:t xml:space="preserve">J. Pei, et al., Modeling and detecting company risks from news, (2024).</w:t>
      </w:r>
    </w:p>
    <w:p>
      <w:pPr>
        <w:spacing w:after="80" w:line="252"/>
        <w:ind w:left="360" w:hanging="360"/>
        <w:jc w:val="both"/>
      </w:pPr>
      <w:r>
        <w:rPr>
          <w:b w:val="false"/>
          <w:bCs w:val="false"/>
        </w:rPr>
        <w:t xml:space="preserve">[15] </w:t>
      </w:r>
      <w:r>
        <w:t xml:space="preserve">A. Devitt, K. Ahmad, Sentiment polarity identification in financial news: a cohesion-based approach, in: Proc. ACL, 2007, pp. 984–991.</w:t>
      </w:r>
    </w:p>
    <w:p>
      <w:pPr>
        <w:spacing w:after="80" w:line="252"/>
        <w:ind w:left="360" w:hanging="360"/>
        <w:jc w:val="both"/>
      </w:pPr>
      <w:r>
        <w:rPr>
          <w:b w:val="false"/>
          <w:bCs w:val="false"/>
        </w:rPr>
        <w:t xml:space="preserve">[16] </w:t>
      </w:r>
      <w:r>
        <w:t xml:space="preserve">D.M. Blei, A.Y. Ng, M.I. Jordan, Latent Dirichlet allocation, Journal of Machine Learning Research 3 (2003) 993–1022.</w:t>
      </w:r>
    </w:p>
    <w:p>
      <w:pPr>
        <w:spacing w:after="80" w:line="252"/>
        <w:ind w:left="360" w:hanging="360"/>
        <w:jc w:val="both"/>
      </w:pPr>
      <w:r>
        <w:rPr>
          <w:b w:val="false"/>
          <w:bCs w:val="false"/>
        </w:rPr>
        <w:t xml:space="preserve">[17] </w:t>
      </w:r>
      <w:r>
        <w:t xml:space="preserve">T. Joachims, Text categorization with support vector machines: learning with many relevant features, in: Proc. ECML, 1998, pp. 137–142.</w:t>
      </w:r>
    </w:p>
    <w:p>
      <w:pPr>
        <w:spacing w:after="80" w:line="252"/>
        <w:ind w:left="360" w:hanging="360"/>
        <w:jc w:val="both"/>
      </w:pPr>
      <w:r>
        <w:rPr>
          <w:b w:val="false"/>
          <w:bCs w:val="false"/>
        </w:rPr>
        <w:t xml:space="preserve">[18] </w:t>
      </w:r>
      <w:r>
        <w:t xml:space="preserve">G. Salton, C. Buckley, Term-weighting approaches in automatic text retrieval, Information Processing &amp; Management 24 (5) (1988) 513–523.</w:t>
      </w:r>
    </w:p>
    <w:p>
      <w:pPr>
        <w:spacing w:after="80" w:line="252"/>
        <w:ind w:left="360" w:hanging="360"/>
        <w:jc w:val="both"/>
      </w:pPr>
      <w:r>
        <w:rPr>
          <w:b w:val="false"/>
          <w:bCs w:val="false"/>
        </w:rPr>
        <w:t xml:space="preserve">[19] </w:t>
      </w:r>
      <w:r>
        <w:t xml:space="preserve">G.D. Bhatt, J. Zaveri, The enabling role of decision support systems in organizational learning, Decision Support Systems 32 (3) (2002) 297–309.</w:t>
      </w:r>
    </w:p>
    <w:p>
      <w:pPr>
        <w:spacing w:after="80" w:line="252"/>
        <w:ind w:left="360" w:hanging="360"/>
        <w:jc w:val="both"/>
      </w:pPr>
      <w:r>
        <w:rPr>
          <w:b w:val="false"/>
          <w:bCs w:val="false"/>
        </w:rPr>
        <w:t xml:space="preserve">[20] </w:t>
      </w:r>
      <w:r>
        <w:t xml:space="preserve">L. Argote, E. Miron-Spektor, Organizational learning: from experience to knowledge, Organization Science 22 (5) (2011) 1123–1137.</w:t>
      </w:r>
    </w:p>
    <w:p>
      <w:pPr>
        <w:spacing w:after="80" w:line="252"/>
        <w:ind w:left="360" w:hanging="360"/>
        <w:jc w:val="both"/>
      </w:pPr>
      <w:r>
        <w:rPr>
          <w:b w:val="false"/>
          <w:bCs w:val="false"/>
        </w:rPr>
        <w:t xml:space="preserve">[21] </w:t>
      </w:r>
      <w:r>
        <w:t xml:space="preserve">C. Cortes, V. Vapnik, Support-vector networks, Machine Learning 20 (3) (1995) 273–297.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888888"/>
        <w:sz w:val="16"/>
        <w:szCs w:val="16"/>
      </w:rPr>
      <w:t xml:space="preserve">Decision Support Systems — Manuscript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2026-06-23T11:12:25.272Z</dcterms:created>
  <dcterms:modified xsi:type="dcterms:W3CDTF">2026-06-23T11:12:25.272Z</dcterms:modified>
</cp:coreProperties>
</file>

<file path=docProps/custom.xml><?xml version="1.0" encoding="utf-8"?>
<Properties xmlns="http://schemas.openxmlformats.org/officeDocument/2006/custom-properties" xmlns:vt="http://schemas.openxmlformats.org/officeDocument/2006/docPropsVTypes"/>
</file>