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grid-based</w:t>
      </w:r>
      <w:r>
        <w:t xml:space="preserve"> </w:t>
      </w:r>
      <w:r>
        <w:t xml:space="preserve">approach</w:t>
      </w:r>
      <w:r>
        <w:t xml:space="preserve"> </w:t>
      </w:r>
      <w:r>
        <w:t xml:space="preserve">to</w:t>
      </w:r>
      <w:r>
        <w:t xml:space="preserve"> </w:t>
      </w:r>
      <w:r>
        <w:t xml:space="preserve">map</w:t>
      </w:r>
      <w:r>
        <w:t xml:space="preserve"> </w:t>
      </w:r>
      <w:r>
        <w:t xml:space="preserve">animals</w:t>
      </w:r>
      <w:r>
        <w:t xml:space="preserve"> </w:t>
      </w:r>
      <w:r>
        <w:t xml:space="preserve">social</w:t>
      </w:r>
      <w:r>
        <w:t xml:space="preserve"> </w:t>
      </w:r>
      <w:r>
        <w:t xml:space="preserve">landscape</w:t>
      </w:r>
    </w:p>
    <w:p>
      <w:pPr>
        <w:pStyle w:val="Author"/>
      </w:pPr>
      <w:r>
        <w:t xml:space="preserve">Kevin</w:t>
      </w:r>
      <w:r>
        <w:t xml:space="preserve"> </w:t>
      </w:r>
      <w:r>
        <w:t xml:space="preserve">Morelle</w:t>
      </w:r>
      <w:r>
        <w:rPr>
          <w:vertAlign w:val="superscript"/>
        </w:rPr>
        <w:t xml:space="preserve">1,2</w:t>
      </w:r>
      <w:r>
        <w:t xml:space="preserve">*,</w:t>
      </w:r>
      <w:r>
        <w:t xml:space="preserve"> </w:t>
      </w:r>
      <w:r>
        <w:t xml:space="preserve">Second</w:t>
      </w:r>
      <w:r>
        <w:t xml:space="preserve"> </w:t>
      </w:r>
      <w:r>
        <w:t xml:space="preserve">Author</w:t>
      </w:r>
      <w:r>
        <w:rPr>
          <w:vertAlign w:val="superscript"/>
        </w:rPr>
        <w:t xml:space="preserve">3</w:t>
      </w:r>
    </w:p>
    <w:p>
      <w:pPr>
        <w:pStyle w:val="FirstParagraph"/>
      </w:pPr>
      <w:r>
        <w:rPr>
          <w:vertAlign w:val="superscript"/>
        </w:rPr>
        <w:t xml:space="preserve">1</w:t>
      </w:r>
      <w:r>
        <w:t xml:space="preserve"> </w:t>
      </w:r>
      <w:r>
        <w:t xml:space="preserve">Max Planck Institute of Animal Behavior (MPIAB), Radolfzell, Germany</w:t>
      </w:r>
    </w:p>
    <w:p>
      <w:pPr>
        <w:pStyle w:val="BodyText"/>
      </w:pPr>
      <w:r>
        <w:rPr>
          <w:vertAlign w:val="superscript"/>
        </w:rPr>
        <w:t xml:space="preserve">2</w:t>
      </w:r>
      <w:r>
        <w:t xml:space="preserve"> </w:t>
      </w:r>
      <w:r>
        <w:t xml:space="preserve">University of Life Sciences (CULS), Prague, Czech Republic</w:t>
      </w:r>
    </w:p>
    <w:p>
      <w:pPr>
        <w:pStyle w:val="BodyText"/>
      </w:pPr>
      <w:r>
        <w:rPr>
          <w:vertAlign w:val="superscript"/>
        </w:rPr>
        <w:t xml:space="preserve">3</w:t>
      </w:r>
      <w:r>
        <w:t xml:space="preserve"> </w:t>
      </w:r>
      <w:r>
        <w:t xml:space="preserve">Blabla</w:t>
      </w:r>
    </w:p>
    <w:p>
      <w:pPr>
        <w:pStyle w:val="BodyText"/>
      </w:pPr>
      <w:r>
        <w:rPr>
          <w:rStyle w:val="VerbatimChar"/>
        </w:rPr>
        <w:t xml:space="preserve">*</w:t>
      </w:r>
      <w:r>
        <w:t xml:space="preserve"> </w:t>
      </w:r>
      <w:r>
        <w:t xml:space="preserve">Corresponding author:</w:t>
      </w:r>
      <w:r>
        <w:t xml:space="preserve"> </w:t>
      </w:r>
      <w:hyperlink r:id="rId20">
        <w:r>
          <w:rPr>
            <w:rStyle w:val="Hyperlink"/>
          </w:rPr>
          <w:t xml:space="preserve">kmorelle@ab.mog.de</w:t>
        </w:r>
      </w:hyperlink>
    </w:p>
    <w:p>
      <w:pPr>
        <w:pStyle w:val="Heading1"/>
      </w:pPr>
      <w:bookmarkStart w:id="21" w:name="abstract"/>
      <w:r>
        <w:t xml:space="preserve">ABSTRACT</w:t>
      </w:r>
      <w:bookmarkEnd w:id="21"/>
    </w:p>
    <w:p>
      <w:pPr>
        <w:pStyle w:val="FirstParagraph"/>
      </w:pPr>
      <w:r>
        <w:t xml:space="preserve">Animal social behaviour is under focus since some decades. Integrating approach merging different field, like movement ecology, disease ecology and socio-biology are emerging over the last years. Yet, we feel there is still a gap in liking those approach within the landscape ecology field. Movement data are generally use for individuals or population level investigations, resource selection, habitat use, movement strategies. Yet these doesn’t inform us about . Although, it is slowly changing, We believe tracking data are still underexplore under the social prism. We proposed here a simple grid-based tool enabling to convert animal tracking data into social landscape. This tool uses a set of metrics enabling to uncover the relative importance of landscape for direct and indirect social interactions. Specifically it enables to vizualize social hubs where information or diseases can be transmitted wihtin individuals. We apply this approach to a disease ecology case, the spread of African Swine Fever in wild boar populations</w:t>
      </w:r>
      <w:r>
        <w:t xml:space="preserve"> </w:t>
      </w:r>
      <w:r>
        <w:rPr>
          <w:i/>
        </w:rPr>
        <w:t xml:space="preserve">+cheetah data from IZW?</w:t>
      </w:r>
      <w:r>
        <w:t xml:space="preserve">, and illustrate how the proposed approach can potentially fill a missing gap in the movement-social and landscape scientific bubble.</w:t>
      </w:r>
    </w:p>
    <w:p>
      <w:pPr>
        <w:pStyle w:val="BodyText"/>
      </w:pPr>
      <w:r>
        <w:rPr>
          <w:i/>
        </w:rPr>
        <w:t xml:space="preserve">Keywords</w:t>
      </w:r>
      <w:r>
        <w:t xml:space="preserve">: Social hubs, interactions, aggregations, disease ecology, information, wild boar</w:t>
      </w:r>
    </w:p>
    <w:p>
      <w:pPr>
        <w:pStyle w:val="Heading1"/>
      </w:pPr>
      <w:bookmarkStart w:id="22" w:name="introduction"/>
      <w:r>
        <w:t xml:space="preserve">INTRODUCTION</w:t>
      </w:r>
      <w:bookmarkEnd w:id="22"/>
    </w:p>
    <w:p>
      <w:pPr>
        <w:pStyle w:val="Heading1"/>
      </w:pPr>
      <w:bookmarkStart w:id="23" w:name="objective---research-questions"/>
      <w:r>
        <w:t xml:space="preserve">OBJECTIVE - RESEARCH QUESTIONS</w:t>
      </w:r>
      <w:bookmarkEnd w:id="23"/>
    </w:p>
    <w:p>
      <w:pPr>
        <w:pStyle w:val="Heading1"/>
      </w:pPr>
      <w:bookmarkStart w:id="24" w:name="methods"/>
      <w:r>
        <w:t xml:space="preserve">METHODS</w:t>
      </w:r>
      <w:bookmarkEnd w:id="2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320"/>
        <w:tblLook w:firstRow="1" w:lastRow="0" w:firstColumn="0" w:lastColumn="0" w:noHBand="0" w:noVBand="1"/>
      </w:tblPr>
      <w:tblGrid>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Type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Metrics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indirect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n_ind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of tracked individuals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indirect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revisit_interval</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every x hours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indirect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visit_frequency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 by day/week/month</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direct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n_ind_max</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of tracked individuals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direct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visit_duration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hours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direct</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group_composition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index 0-1, 1 = always same individuals/dyads/group, 0=always different</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bl>
    <w:p>
      <w:pPr>
        <w:pStyle w:val="FirstParagraph"/>
      </w:pPr>
      <w:r>
        <w:t xml:space="preserve">We applied a linear model where</w:t>
      </w:r>
    </w:p>
    <w:p>
      <w:pPr>
        <w:pStyle w:val="BodyText"/>
      </w:pPr>
      <m:oMathPara>
        <m:oMathParaPr>
          <m:jc m:val="center"/>
        </m:oMathParaPr>
        <m:oMath>
          <m:sSub>
            <m:e>
              <m:r>
                <m:t>y</m:t>
              </m:r>
            </m:e>
            <m:sub>
              <m:r>
                <m:t>i</m:t>
              </m:r>
            </m:sub>
          </m:sSub>
          <m:r>
            <m:t>=</m:t>
          </m:r>
          <m:r>
            <m:t>α</m:t>
          </m:r>
          <m:r>
            <m:t>+</m:t>
          </m:r>
          <m:r>
            <m:t>β</m:t>
          </m:r>
          <m:r>
            <m:t>*</m:t>
          </m:r>
          <m:sSub>
            <m:e>
              <m:r>
                <m:t>x</m:t>
              </m:r>
            </m:e>
            <m:sub>
              <m:r>
                <m:t>i</m:t>
              </m:r>
            </m:sub>
          </m:sSub>
        </m:oMath>
      </m:oMathPara>
    </w:p>
    <w:p>
      <w:pPr>
        <w:pStyle w:val="FirstParagraph"/>
      </w:pPr>
      <w:r>
        <w:t xml:space="preserve">We used the statistical language</w:t>
      </w:r>
      <w:r>
        <w:t xml:space="preserve"> </w:t>
      </w:r>
      <w:r>
        <w:rPr>
          <w:rStyle w:val="VerbatimChar"/>
        </w:rPr>
        <w:t xml:space="preserve">R</w:t>
      </w:r>
      <w:r>
        <w:t xml:space="preserve"> </w:t>
      </w:r>
      <w:r>
        <w:t xml:space="preserve">(R Core Team 2020)</w:t>
      </w:r>
      <w:r>
        <w:t xml:space="preserve"> </w:t>
      </w:r>
      <w:r>
        <w:t xml:space="preserve">for all our analyses. These were implemented in dynamic rmarkdown documents using</w:t>
      </w:r>
      <w:r>
        <w:t xml:space="preserve"> </w:t>
      </w:r>
      <w:r>
        <w:rPr>
          <w:rStyle w:val="VerbatimChar"/>
        </w:rPr>
        <w:t xml:space="preserve">knitr</w:t>
      </w:r>
      <w:r>
        <w:t xml:space="preserve"> </w:t>
      </w:r>
      <w:r>
        <w:t xml:space="preserve">(Xie 2014, 2015, 2020)</w:t>
      </w:r>
      <w:r>
        <w:t xml:space="preserve"> </w:t>
      </w:r>
      <w:r>
        <w:t xml:space="preserve">and</w:t>
      </w:r>
      <w:r>
        <w:t xml:space="preserve"> </w:t>
      </w:r>
      <w:r>
        <w:rPr>
          <w:rStyle w:val="VerbatimChar"/>
        </w:rPr>
        <w:t xml:space="preserve">rmarkdown</w:t>
      </w:r>
      <w:r>
        <w:t xml:space="preserve"> </w:t>
      </w:r>
      <w:r>
        <w:t xml:space="preserve">(Xie et al. 2018, 2020, Allaire et al. 2021)</w:t>
      </w:r>
      <w:r>
        <w:t xml:space="preserve"> </w:t>
      </w:r>
      <w:r>
        <w:t xml:space="preserve">packages. All the multilevel models were fitted with</w:t>
      </w:r>
      <w:r>
        <w:t xml:space="preserve"> </w:t>
      </w:r>
      <w:r>
        <w:rPr>
          <w:rStyle w:val="VerbatimChar"/>
        </w:rPr>
        <w:t xml:space="preserve">lme4</w:t>
      </w:r>
      <w:r>
        <w:t xml:space="preserve"> </w:t>
      </w:r>
      <w:r>
        <w:t xml:space="preserve">(Bates et al. 2015)</w:t>
      </w:r>
      <w:r>
        <w:t xml:space="preserve">.</w:t>
      </w:r>
    </w:p>
    <w:p>
      <w:pPr>
        <w:pStyle w:val="Heading2"/>
      </w:pPr>
      <w:bookmarkStart w:id="25" w:name="analysis"/>
      <w:r>
        <w:t xml:space="preserve">Analysis</w:t>
      </w:r>
      <w:bookmarkEnd w:id="25"/>
    </w:p>
    <w:p>
      <w:pPr>
        <w:pStyle w:val="Heading1"/>
      </w:pPr>
      <w:bookmarkStart w:id="26" w:name="applications"/>
      <w:r>
        <w:t xml:space="preserve">APPLICATIONS</w:t>
      </w:r>
      <w:bookmarkEnd w:id="26"/>
    </w:p>
    <w:p>
      <w:pPr>
        <w:pStyle w:val="TableCaption"/>
      </w:pPr>
      <w:r>
        <w:t xml:space="preserve">A glimpse of the famous Iris dataset.</w:t>
      </w:r>
    </w:p>
    <w:tbl>
      <w:tblPr>
        <w:tblStyle w:val="Table"/>
        <w:tblW w:type="pct" w:w="0.0"/>
        <w:tblLook w:firstRow="1"/>
        <w:tblCaption w:val="A glimpse of the famous Iris dataset."/>
      </w:tblPr>
      <w:tblGrid/>
      <w:tr>
        <w:trPr>
          <w:cnfStyle w:firstRow="1"/>
        </w:trPr>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Sepal.Width</w:t>
            </w:r>
          </w:p>
        </w:tc>
        <w:tc>
          <w:tcPr>
            <w:tcBorders>
              <w:bottom w:val="single"/>
            </w:tcBorders>
            <w:vAlign w:val="bottom"/>
          </w:tcPr>
          <w:p>
            <w:pPr>
              <w:pStyle w:val="Compact"/>
              <w:jc w:val="right"/>
            </w:pPr>
            <w:r>
              <w:t xml:space="preserve">Petal.Length</w:t>
            </w:r>
          </w:p>
        </w:tc>
        <w:tc>
          <w:tcPr>
            <w:tcBorders>
              <w:bottom w:val="single"/>
            </w:tcBorders>
            <w:vAlign w:val="bottom"/>
          </w:tcPr>
          <w:p>
            <w:pPr>
              <w:pStyle w:val="Compact"/>
              <w:jc w:val="right"/>
            </w:pPr>
            <w:r>
              <w:t xml:space="preserve">Petal.Width</w:t>
            </w:r>
          </w:p>
        </w:tc>
        <w:tc>
          <w:tcPr>
            <w:tcBorders>
              <w:bottom w:val="single"/>
            </w:tcBorders>
            <w:vAlign w:val="bottom"/>
          </w:tcPr>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1.7</w:t>
            </w:r>
          </w:p>
        </w:tc>
        <w:tc>
          <w:p>
            <w:pPr>
              <w:pStyle w:val="Compact"/>
              <w:jc w:val="right"/>
            </w:pPr>
            <w:r>
              <w:t xml:space="preserve">0.4</w:t>
            </w:r>
          </w:p>
        </w:tc>
        <w:tc>
          <w:p>
            <w:pPr>
              <w:pStyle w:val="Compact"/>
              <w:jc w:val="left"/>
            </w:pPr>
            <w:r>
              <w:t xml:space="preserve">setosa</w:t>
            </w:r>
          </w:p>
        </w:tc>
      </w:tr>
    </w:tbl>
    <w:p>
      <w:pPr>
        <w:pStyle w:val="CaptionedFigure"/>
      </w:pPr>
      <w:r>
        <w:drawing>
          <wp:inline>
            <wp:extent cx="4620126" cy="3696101"/>
            <wp:effectExtent b="0" l="0" r="0" t="0"/>
            <wp:docPr descr="Just my first figure with a very fantastic caption." title="" id="1" name="Picture"/>
            <a:graphic>
              <a:graphicData uri="http://schemas.openxmlformats.org/drawingml/2006/picture">
                <pic:pic>
                  <pic:nvPicPr>
                    <pic:cNvPr descr="output/figures/scatterplo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Just my first figure with a very fantastic caption.</w:t>
      </w:r>
    </w:p>
    <w:p>
      <w:pPr>
        <w:pStyle w:val="Heading1"/>
      </w:pPr>
      <w:bookmarkStart w:id="28" w:name="discussion"/>
      <w:r>
        <w:t xml:space="preserve">DISCUSSION</w:t>
      </w:r>
      <w:bookmarkEnd w:id="28"/>
    </w:p>
    <w:p>
      <w:pPr>
        <w:pStyle w:val="FirstParagraph"/>
      </w:pPr>
      <w:r>
        <w:t xml:space="preserve">Discuss with other existing landscape-habitat available tools:</w:t>
      </w:r>
    </w:p>
    <w:p>
      <w:pPr>
        <w:pStyle w:val="Compact"/>
        <w:numPr>
          <w:numId w:val="1001"/>
          <w:ilvl w:val="0"/>
        </w:numPr>
      </w:pPr>
      <w:r>
        <w:t xml:space="preserve">Habitat network</w:t>
      </w:r>
      <w:r>
        <w:t xml:space="preserve"> </w:t>
      </w:r>
      <w:r>
        <w:t xml:space="preserve">(</w:t>
      </w:r>
      <w:r>
        <w:rPr>
          <w:b/>
        </w:rPr>
        <w:t xml:space="preserve">???</w:t>
      </w:r>
      <w:r>
        <w:t xml:space="preserve">)</w:t>
      </w:r>
    </w:p>
    <w:p>
      <w:pPr>
        <w:pStyle w:val="Compact"/>
        <w:numPr>
          <w:numId w:val="1001"/>
          <w:ilvl w:val="0"/>
        </w:numPr>
      </w:pPr>
      <w:r>
        <w:t xml:space="preserve">Grainscape toolbox</w:t>
      </w:r>
    </w:p>
    <w:p>
      <w:pPr>
        <w:pStyle w:val="Compact"/>
        <w:numPr>
          <w:numId w:val="1001"/>
          <w:ilvl w:val="0"/>
        </w:numPr>
      </w:pPr>
      <w:r>
        <w:t xml:space="preserve">Movescape</w:t>
      </w:r>
      <w:r>
        <w:t xml:space="preserve"> </w:t>
      </w:r>
      <w:r>
        <w:t xml:space="preserve">(</w:t>
      </w:r>
      <w:r>
        <w:rPr>
          <w:b/>
        </w:rPr>
        <w:t xml:space="preserve">???</w:t>
      </w:r>
      <w:r>
        <w:t xml:space="preserve">)</w:t>
      </w:r>
    </w:p>
    <w:p>
      <w:pPr>
        <w:pStyle w:val="Heading1"/>
      </w:pPr>
      <w:bookmarkStart w:id="29" w:name="conclusions"/>
      <w:r>
        <w:t xml:space="preserve">CONCLUSIONS</w:t>
      </w:r>
      <w:bookmarkEnd w:id="29"/>
    </w:p>
    <w:p>
      <w:pPr>
        <w:pStyle w:val="FirstParagraph"/>
      </w:pPr>
      <w:r>
        <w:t xml:space="preserve">Wrap up</w:t>
      </w:r>
    </w:p>
    <w:p>
      <w:pPr>
        <w:pStyle w:val="Heading1"/>
      </w:pPr>
      <w:bookmarkStart w:id="30" w:name="acknowledgements"/>
      <w:r>
        <w:t xml:space="preserve">ACKNOWLEDGEMENTS</w:t>
      </w:r>
      <w:bookmarkEnd w:id="30"/>
    </w:p>
    <w:p>
      <w:pPr>
        <w:pStyle w:val="FirstParagraph"/>
      </w:pPr>
      <w:r>
        <w:t xml:space="preserve">On the shoulders of giants.</w:t>
      </w:r>
    </w:p>
    <w:p>
      <w:pPr>
        <w:pStyle w:val="Heading1"/>
      </w:pPr>
      <w:bookmarkStart w:id="31" w:name="references"/>
      <w:r>
        <w:t xml:space="preserve">REFERENCES</w:t>
      </w:r>
      <w:bookmarkEnd w:id="31"/>
    </w:p>
    <w:bookmarkStart w:id="40" w:name="refs"/>
    <w:bookmarkStart w:id="32" w:name="ref-Allaire_2021"/>
    <w:p>
      <w:pPr>
        <w:pStyle w:val="Bibliography"/>
      </w:pPr>
      <w:r>
        <w:t xml:space="preserve">Allaire, J., Y. Xie, J. McPherson, J. Luraschi, K. Ushey, A. Atkins, H. Wickham, J. Cheng, W. Chang, and R. Iannone. 2021. Rmarkdown: Dynamic documents for r.</w:t>
      </w:r>
    </w:p>
    <w:bookmarkEnd w:id="32"/>
    <w:bookmarkStart w:id="33" w:name="ref-Bates_2015"/>
    <w:p>
      <w:pPr>
        <w:pStyle w:val="Bibliography"/>
      </w:pPr>
      <w:r>
        <w:t xml:space="preserve">Bates, D., M. Mächler, B. Bolker, and S. Walker. 2015. Fitting linear mixed-effects models using lme4. Journal of Statistical Software 67:1–48.</w:t>
      </w:r>
    </w:p>
    <w:bookmarkEnd w:id="33"/>
    <w:bookmarkStart w:id="34" w:name="ref-R_Core_Team_2020"/>
    <w:p>
      <w:pPr>
        <w:pStyle w:val="Bibliography"/>
      </w:pPr>
      <w:r>
        <w:t xml:space="preserve">R Core Team. 2020. R: A language and environment for statistical computing. R Foundation for Statistical Computing, Vienna, Austria.</w:t>
      </w:r>
    </w:p>
    <w:bookmarkEnd w:id="34"/>
    <w:bookmarkStart w:id="35" w:name="ref-Xie_2014"/>
    <w:p>
      <w:pPr>
        <w:pStyle w:val="Bibliography"/>
      </w:pPr>
      <w:r>
        <w:t xml:space="preserve">Xie, Y. 2014. Knitr: A comprehensive tool for reproducible research in R.</w:t>
      </w:r>
      <w:r>
        <w:t xml:space="preserve"> </w:t>
      </w:r>
      <w:r>
        <w:rPr>
          <w:i/>
        </w:rPr>
        <w:t xml:space="preserve">in</w:t>
      </w:r>
      <w:r>
        <w:t xml:space="preserve"> </w:t>
      </w:r>
      <w:r>
        <w:t xml:space="preserve">V. Stodden, F. Leisch, and R. D. Peng, editors. Implementing reproducible computational research. Chapman; Hall/CRC.</w:t>
      </w:r>
    </w:p>
    <w:bookmarkEnd w:id="35"/>
    <w:bookmarkStart w:id="36" w:name="ref-Xie_2015"/>
    <w:p>
      <w:pPr>
        <w:pStyle w:val="Bibliography"/>
      </w:pPr>
      <w:r>
        <w:t xml:space="preserve">Xie, Y. 2015. Dynamic documents with R and knitr. 2nd editions. Chapman; Hall/CRC, Boca Raton, Florida.</w:t>
      </w:r>
    </w:p>
    <w:bookmarkEnd w:id="36"/>
    <w:bookmarkStart w:id="37" w:name="ref-Xie_2020"/>
    <w:p>
      <w:pPr>
        <w:pStyle w:val="Bibliography"/>
      </w:pPr>
      <w:r>
        <w:t xml:space="preserve">Xie, Y. 2020. Knitr: A general-purpose package for dynamic report generation in r.</w:t>
      </w:r>
    </w:p>
    <w:bookmarkEnd w:id="37"/>
    <w:bookmarkStart w:id="38" w:name="ref-Xie_2018"/>
    <w:p>
      <w:pPr>
        <w:pStyle w:val="Bibliography"/>
      </w:pPr>
      <w:r>
        <w:t xml:space="preserve">Xie, Y., J. J. Allaire, and G. Grolemund. 2018. R markdown: The definitive guide. Chapman; Hall/CRC, Boca Raton, Florida.</w:t>
      </w:r>
    </w:p>
    <w:bookmarkEnd w:id="38"/>
    <w:bookmarkStart w:id="39" w:name="ref-Xie_2020a"/>
    <w:p>
      <w:pPr>
        <w:pStyle w:val="Bibliography"/>
      </w:pPr>
      <w:r>
        <w:t xml:space="preserve">Xie, Y., C. Dervieux, and E. Riederer. 2020. R markdown cookbook. Chapman; Hall/CRC, Boca Raton, Florida.</w:t>
      </w:r>
    </w:p>
    <w:bookmarkEnd w:id="39"/>
    <w:bookmarkEnd w:id="40"/>
    <w:p>
      <w:pPr>
        <w:pStyle w:val="Heading6"/>
      </w:pPr>
      <w:bookmarkStart w:id="41" w:name="supplementary-table-on-new-page"/>
      <w:r>
        <w:t xml:space="preserve">Supplementary Table (on new page)</w:t>
      </w:r>
      <w:bookmarkEnd w:id="41"/>
    </w:p>
    <w:p>
      <w:pPr>
        <w:pStyle w:val="TableCaption"/>
      </w:pPr>
      <w:r>
        <w:t xml:space="preserve">Now a subset of mtcars dataset.</w:t>
      </w:r>
    </w:p>
    <w:tbl>
      <w:tblPr>
        <w:tblStyle w:val="Table"/>
        <w:tblW w:type="pct" w:w="0.0"/>
        <w:tblLook w:firstRow="1"/>
        <w:tblCaption w:val="Now a subset of mtcars datase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Merc 280</w:t>
            </w:r>
          </w:p>
        </w:tc>
        <w:tc>
          <w:p>
            <w:pPr>
              <w:pStyle w:val="Compact"/>
              <w:jc w:val="right"/>
            </w:pPr>
            <w:r>
              <w:t xml:space="preserve">19.2</w:t>
            </w:r>
          </w:p>
        </w:tc>
        <w:tc>
          <w:p>
            <w:pPr>
              <w:pStyle w:val="Compact"/>
              <w:jc w:val="right"/>
            </w:pPr>
            <w:r>
              <w:t xml:space="preserve">6</w:t>
            </w:r>
          </w:p>
        </w:tc>
        <w:tc>
          <w:p>
            <w:pPr>
              <w:pStyle w:val="Compact"/>
              <w:jc w:val="right"/>
            </w:pPr>
            <w:r>
              <w:t xml:space="preserve">167.6</w:t>
            </w:r>
          </w:p>
        </w:tc>
        <w:tc>
          <w:p>
            <w:pPr>
              <w:pStyle w:val="Compact"/>
              <w:jc w:val="right"/>
            </w:pPr>
            <w:r>
              <w:t xml:space="preserve">123</w:t>
            </w:r>
          </w:p>
        </w:tc>
        <w:tc>
          <w:p>
            <w:pPr>
              <w:pStyle w:val="Compact"/>
              <w:jc w:val="right"/>
            </w:pPr>
            <w:r>
              <w:t xml:space="preserve">3.92</w:t>
            </w:r>
          </w:p>
        </w:tc>
        <w:tc>
          <w:p>
            <w:pPr>
              <w:pStyle w:val="Compact"/>
              <w:jc w:val="right"/>
            </w:pPr>
            <w:r>
              <w:t xml:space="preserve">3.440</w:t>
            </w:r>
          </w:p>
        </w:tc>
        <w:tc>
          <w:p>
            <w:pPr>
              <w:pStyle w:val="Compact"/>
              <w:jc w:val="right"/>
            </w:pPr>
            <w:r>
              <w:t xml:space="preserve">18.30</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4</w:t>
            </w:r>
          </w:p>
        </w:tc>
      </w:tr>
      <w:tr>
        <w:tc>
          <w:p>
            <w:pPr>
              <w:pStyle w:val="Compact"/>
              <w:jc w:val="left"/>
            </w:pPr>
            <w:r>
              <w:t xml:space="preserve">Merc 280C</w:t>
            </w:r>
          </w:p>
        </w:tc>
        <w:tc>
          <w:p>
            <w:pPr>
              <w:pStyle w:val="Compact"/>
              <w:jc w:val="right"/>
            </w:pPr>
            <w:r>
              <w:t xml:space="preserve">17.8</w:t>
            </w:r>
          </w:p>
        </w:tc>
        <w:tc>
          <w:p>
            <w:pPr>
              <w:pStyle w:val="Compact"/>
              <w:jc w:val="right"/>
            </w:pPr>
            <w:r>
              <w:t xml:space="preserve">6</w:t>
            </w:r>
          </w:p>
        </w:tc>
        <w:tc>
          <w:p>
            <w:pPr>
              <w:pStyle w:val="Compact"/>
              <w:jc w:val="right"/>
            </w:pPr>
            <w:r>
              <w:t xml:space="preserve">167.6</w:t>
            </w:r>
          </w:p>
        </w:tc>
        <w:tc>
          <w:p>
            <w:pPr>
              <w:pStyle w:val="Compact"/>
              <w:jc w:val="right"/>
            </w:pPr>
            <w:r>
              <w:t xml:space="preserve">123</w:t>
            </w:r>
          </w:p>
        </w:tc>
        <w:tc>
          <w:p>
            <w:pPr>
              <w:pStyle w:val="Compact"/>
              <w:jc w:val="right"/>
            </w:pPr>
            <w:r>
              <w:t xml:space="preserve">3.92</w:t>
            </w:r>
          </w:p>
        </w:tc>
        <w:tc>
          <w:p>
            <w:pPr>
              <w:pStyle w:val="Compact"/>
              <w:jc w:val="right"/>
            </w:pPr>
            <w:r>
              <w:t xml:space="preserve">3.440</w:t>
            </w:r>
          </w:p>
        </w:tc>
        <w:tc>
          <w:p>
            <w:pPr>
              <w:pStyle w:val="Compact"/>
              <w:jc w:val="right"/>
            </w:pPr>
            <w:r>
              <w:t xml:space="preserve">18.90</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4</w:t>
            </w:r>
          </w:p>
        </w:tc>
      </w:tr>
      <w:tr>
        <w:tc>
          <w:p>
            <w:pPr>
              <w:pStyle w:val="Compact"/>
              <w:jc w:val="left"/>
            </w:pPr>
            <w:r>
              <w:t xml:space="preserve">Merc 450SE</w:t>
            </w:r>
          </w:p>
        </w:tc>
        <w:tc>
          <w:p>
            <w:pPr>
              <w:pStyle w:val="Compact"/>
              <w:jc w:val="right"/>
            </w:pPr>
            <w:r>
              <w:t xml:space="preserve">16.4</w:t>
            </w:r>
          </w:p>
        </w:tc>
        <w:tc>
          <w:p>
            <w:pPr>
              <w:pStyle w:val="Compact"/>
              <w:jc w:val="right"/>
            </w:pPr>
            <w:r>
              <w:t xml:space="preserve">8</w:t>
            </w:r>
          </w:p>
        </w:tc>
        <w:tc>
          <w:p>
            <w:pPr>
              <w:pStyle w:val="Compact"/>
              <w:jc w:val="right"/>
            </w:pPr>
            <w:r>
              <w:t xml:space="preserve">275.8</w:t>
            </w:r>
          </w:p>
        </w:tc>
        <w:tc>
          <w:p>
            <w:pPr>
              <w:pStyle w:val="Compact"/>
              <w:jc w:val="right"/>
            </w:pPr>
            <w:r>
              <w:t xml:space="preserve">180</w:t>
            </w:r>
          </w:p>
        </w:tc>
        <w:tc>
          <w:p>
            <w:pPr>
              <w:pStyle w:val="Compact"/>
              <w:jc w:val="right"/>
            </w:pPr>
            <w:r>
              <w:t xml:space="preserve">3.07</w:t>
            </w:r>
          </w:p>
        </w:tc>
        <w:tc>
          <w:p>
            <w:pPr>
              <w:pStyle w:val="Compact"/>
              <w:jc w:val="right"/>
            </w:pPr>
            <w:r>
              <w:t xml:space="preserve">4.070</w:t>
            </w:r>
          </w:p>
        </w:tc>
        <w:tc>
          <w:p>
            <w:pPr>
              <w:pStyle w:val="Compact"/>
              <w:jc w:val="right"/>
            </w:pPr>
            <w:r>
              <w:t xml:space="preserve">17.40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3</w:t>
            </w:r>
          </w:p>
        </w:tc>
      </w:tr>
      <w:tr>
        <w:tc>
          <w:p>
            <w:pPr>
              <w:pStyle w:val="Compact"/>
              <w:jc w:val="left"/>
            </w:pPr>
            <w:r>
              <w:t xml:space="preserve">Merc 450SL</w:t>
            </w:r>
          </w:p>
        </w:tc>
        <w:tc>
          <w:p>
            <w:pPr>
              <w:pStyle w:val="Compact"/>
              <w:jc w:val="right"/>
            </w:pPr>
            <w:r>
              <w:t xml:space="preserve">17.3</w:t>
            </w:r>
          </w:p>
        </w:tc>
        <w:tc>
          <w:p>
            <w:pPr>
              <w:pStyle w:val="Compact"/>
              <w:jc w:val="right"/>
            </w:pPr>
            <w:r>
              <w:t xml:space="preserve">8</w:t>
            </w:r>
          </w:p>
        </w:tc>
        <w:tc>
          <w:p>
            <w:pPr>
              <w:pStyle w:val="Compact"/>
              <w:jc w:val="right"/>
            </w:pPr>
            <w:r>
              <w:t xml:space="preserve">275.8</w:t>
            </w:r>
          </w:p>
        </w:tc>
        <w:tc>
          <w:p>
            <w:pPr>
              <w:pStyle w:val="Compact"/>
              <w:jc w:val="right"/>
            </w:pPr>
            <w:r>
              <w:t xml:space="preserve">180</w:t>
            </w:r>
          </w:p>
        </w:tc>
        <w:tc>
          <w:p>
            <w:pPr>
              <w:pStyle w:val="Compact"/>
              <w:jc w:val="right"/>
            </w:pPr>
            <w:r>
              <w:t xml:space="preserve">3.07</w:t>
            </w:r>
          </w:p>
        </w:tc>
        <w:tc>
          <w:p>
            <w:pPr>
              <w:pStyle w:val="Compact"/>
              <w:jc w:val="right"/>
            </w:pPr>
            <w:r>
              <w:t xml:space="preserve">3.730</w:t>
            </w:r>
          </w:p>
        </w:tc>
        <w:tc>
          <w:p>
            <w:pPr>
              <w:pStyle w:val="Compact"/>
              <w:jc w:val="right"/>
            </w:pPr>
            <w:r>
              <w:t xml:space="preserve">17.60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3</w:t>
            </w:r>
          </w:p>
        </w:tc>
      </w:tr>
      <w:tr>
        <w:tc>
          <w:p>
            <w:pPr>
              <w:pStyle w:val="Compact"/>
              <w:jc w:val="left"/>
            </w:pPr>
            <w:r>
              <w:t xml:space="preserve">Merc 450SLC</w:t>
            </w:r>
          </w:p>
        </w:tc>
        <w:tc>
          <w:p>
            <w:pPr>
              <w:pStyle w:val="Compact"/>
              <w:jc w:val="right"/>
            </w:pPr>
            <w:r>
              <w:t xml:space="preserve">15.2</w:t>
            </w:r>
          </w:p>
        </w:tc>
        <w:tc>
          <w:p>
            <w:pPr>
              <w:pStyle w:val="Compact"/>
              <w:jc w:val="right"/>
            </w:pPr>
            <w:r>
              <w:t xml:space="preserve">8</w:t>
            </w:r>
          </w:p>
        </w:tc>
        <w:tc>
          <w:p>
            <w:pPr>
              <w:pStyle w:val="Compact"/>
              <w:jc w:val="right"/>
            </w:pPr>
            <w:r>
              <w:t xml:space="preserve">275.8</w:t>
            </w:r>
          </w:p>
        </w:tc>
        <w:tc>
          <w:p>
            <w:pPr>
              <w:pStyle w:val="Compact"/>
              <w:jc w:val="right"/>
            </w:pPr>
            <w:r>
              <w:t xml:space="preserve">180</w:t>
            </w:r>
          </w:p>
        </w:tc>
        <w:tc>
          <w:p>
            <w:pPr>
              <w:pStyle w:val="Compact"/>
              <w:jc w:val="right"/>
            </w:pPr>
            <w:r>
              <w:t xml:space="preserve">3.07</w:t>
            </w:r>
          </w:p>
        </w:tc>
        <w:tc>
          <w:p>
            <w:pPr>
              <w:pStyle w:val="Compact"/>
              <w:jc w:val="right"/>
            </w:pPr>
            <w:r>
              <w:t xml:space="preserve">3.780</w:t>
            </w:r>
          </w:p>
        </w:tc>
        <w:tc>
          <w:p>
            <w:pPr>
              <w:pStyle w:val="Compact"/>
              <w:jc w:val="right"/>
            </w:pPr>
            <w:r>
              <w:t xml:space="preserve">18.00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3</w:t>
            </w:r>
          </w:p>
        </w:tc>
      </w:tr>
      <w:tr>
        <w:tc>
          <w:p>
            <w:pPr>
              <w:pStyle w:val="Compact"/>
              <w:jc w:val="left"/>
            </w:pPr>
            <w:r>
              <w:t xml:space="preserve">Cadillac Fleetwood</w:t>
            </w:r>
          </w:p>
        </w:tc>
        <w:tc>
          <w:p>
            <w:pPr>
              <w:pStyle w:val="Compact"/>
              <w:jc w:val="right"/>
            </w:pPr>
            <w:r>
              <w:t xml:space="preserve">10.4</w:t>
            </w:r>
          </w:p>
        </w:tc>
        <w:tc>
          <w:p>
            <w:pPr>
              <w:pStyle w:val="Compact"/>
              <w:jc w:val="right"/>
            </w:pPr>
            <w:r>
              <w:t xml:space="preserve">8</w:t>
            </w:r>
          </w:p>
        </w:tc>
        <w:tc>
          <w:p>
            <w:pPr>
              <w:pStyle w:val="Compact"/>
              <w:jc w:val="right"/>
            </w:pPr>
            <w:r>
              <w:t xml:space="preserve">472.0</w:t>
            </w:r>
          </w:p>
        </w:tc>
        <w:tc>
          <w:p>
            <w:pPr>
              <w:pStyle w:val="Compact"/>
              <w:jc w:val="right"/>
            </w:pPr>
            <w:r>
              <w:t xml:space="preserve">205</w:t>
            </w:r>
          </w:p>
        </w:tc>
        <w:tc>
          <w:p>
            <w:pPr>
              <w:pStyle w:val="Compact"/>
              <w:jc w:val="right"/>
            </w:pPr>
            <w:r>
              <w:t xml:space="preserve">2.93</w:t>
            </w:r>
          </w:p>
        </w:tc>
        <w:tc>
          <w:p>
            <w:pPr>
              <w:pStyle w:val="Compact"/>
              <w:jc w:val="right"/>
            </w:pPr>
            <w:r>
              <w:t xml:space="preserve">5.250</w:t>
            </w:r>
          </w:p>
        </w:tc>
        <w:tc>
          <w:p>
            <w:pPr>
              <w:pStyle w:val="Compact"/>
              <w:jc w:val="right"/>
            </w:pPr>
            <w:r>
              <w:t xml:space="preserve">17.98</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4</w:t>
            </w:r>
          </w:p>
        </w:tc>
      </w:tr>
      <w:tr>
        <w:tc>
          <w:p>
            <w:pPr>
              <w:pStyle w:val="Compact"/>
              <w:jc w:val="left"/>
            </w:pPr>
            <w:r>
              <w:t xml:space="preserve">Lincoln Continental</w:t>
            </w:r>
          </w:p>
        </w:tc>
        <w:tc>
          <w:p>
            <w:pPr>
              <w:pStyle w:val="Compact"/>
              <w:jc w:val="right"/>
            </w:pPr>
            <w:r>
              <w:t xml:space="preserve">10.4</w:t>
            </w:r>
          </w:p>
        </w:tc>
        <w:tc>
          <w:p>
            <w:pPr>
              <w:pStyle w:val="Compact"/>
              <w:jc w:val="right"/>
            </w:pPr>
            <w:r>
              <w:t xml:space="preserve">8</w:t>
            </w:r>
          </w:p>
        </w:tc>
        <w:tc>
          <w:p>
            <w:pPr>
              <w:pStyle w:val="Compact"/>
              <w:jc w:val="right"/>
            </w:pPr>
            <w:r>
              <w:t xml:space="preserve">460.0</w:t>
            </w:r>
          </w:p>
        </w:tc>
        <w:tc>
          <w:p>
            <w:pPr>
              <w:pStyle w:val="Compact"/>
              <w:jc w:val="right"/>
            </w:pPr>
            <w:r>
              <w:t xml:space="preserve">215</w:t>
            </w:r>
          </w:p>
        </w:tc>
        <w:tc>
          <w:p>
            <w:pPr>
              <w:pStyle w:val="Compact"/>
              <w:jc w:val="right"/>
            </w:pPr>
            <w:r>
              <w:t xml:space="preserve">3.00</w:t>
            </w:r>
          </w:p>
        </w:tc>
        <w:tc>
          <w:p>
            <w:pPr>
              <w:pStyle w:val="Compact"/>
              <w:jc w:val="right"/>
            </w:pPr>
            <w:r>
              <w:t xml:space="preserve">5.424</w:t>
            </w:r>
          </w:p>
        </w:tc>
        <w:tc>
          <w:p>
            <w:pPr>
              <w:pStyle w:val="Compact"/>
              <w:jc w:val="right"/>
            </w:pPr>
            <w:r>
              <w:t xml:space="preserve">17.82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4</w:t>
            </w:r>
          </w:p>
        </w:tc>
      </w:tr>
    </w:tbl>
    <w:p>
      <w:pPr>
        <w:pStyle w:val="Heading6"/>
      </w:pPr>
      <w:bookmarkStart w:id="42" w:name="supplementary-figure-on-new-page"/>
      <w:r>
        <w:t xml:space="preserve">Supplementary Figure (on new page)</w:t>
      </w:r>
      <w:bookmarkEnd w:id="42"/>
    </w:p>
    <w:p>
      <w:pPr>
        <w:pStyle w:val="CaptionedFigure"/>
      </w:pPr>
      <w:r>
        <w:drawing>
          <wp:inline>
            <wp:extent cx="4620126" cy="3696101"/>
            <wp:effectExtent b="0" l="0" r="0" t="0"/>
            <wp:docPr descr="A boxplot." title="" id="1" name="Picture"/>
            <a:graphic>
              <a:graphicData uri="http://schemas.openxmlformats.org/drawingml/2006/picture">
                <pic:pic>
                  <pic:nvPicPr>
                    <pic:cNvPr descr="output/figures/Fig-landscape-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 boxplot.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27" Target="media/rId27.png" /><Relationship Type="http://schemas.openxmlformats.org/officeDocument/2006/relationships/hyperlink" Id="rId20" Target="mailto:kmorelle@ab.mog.de" TargetMode="External" /></Relationships>
</file>

<file path=word/_rels/footnotes.xml.rels><?xml version="1.0" encoding="UTF-8"?>
<Relationships xmlns="http://schemas.openxmlformats.org/package/2006/relationships"><Relationship Type="http://schemas.openxmlformats.org/officeDocument/2006/relationships/hyperlink" Id="rId20" Target="mailto:kmorelle@ab.mo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grid-based approach to map animals social landscape</dc:title>
  <dc:creator>Kevin Morelle1,2*, Second Author3</dc:creator>
  <cp:keywords/>
  <dcterms:created xsi:type="dcterms:W3CDTF">2021-03-25T10:44:37Z</dcterms:created>
  <dcterms:modified xsi:type="dcterms:W3CDTF">2021-03-25T10:44:37Z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output">
    <vt:lpwstr/>
  </property>
</Properties>
</file>