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D54C6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THE BEST ARTICLE EVER</w:t>
      </w:r>
    </w:p>
    <w:p w14:paraId="40D6DCFB">
      <w:pPr>
        <w:rPr>
          <w:rFonts w:hint="default"/>
          <w:lang w:val="pt-BR"/>
        </w:rPr>
      </w:pPr>
    </w:p>
    <w:p w14:paraId="401AB19E">
      <w:pPr>
        <w:rPr>
          <w:rFonts w:hint="default"/>
          <w:lang w:val="pt-BR"/>
        </w:rPr>
      </w:pPr>
    </w:p>
    <w:p w14:paraId="58896CAE">
      <w:pPr>
        <w:pStyle w:val="2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INTRODUCTION</w:t>
      </w:r>
    </w:p>
    <w:p w14:paraId="5E6328B3">
      <w:pPr>
        <w:rPr>
          <w:rFonts w:hint="default"/>
          <w:lang w:val="pt-BR"/>
        </w:rPr>
      </w:pPr>
    </w:p>
    <w:p w14:paraId="20B5BDEA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IMPORTANCE OF COMMON BEAN</w:t>
      </w:r>
    </w:p>
    <w:p w14:paraId="561E932B">
      <w:pPr>
        <w:rPr>
          <w:rFonts w:hint="default"/>
          <w:lang w:val="pt-BR"/>
        </w:rPr>
      </w:pPr>
    </w:p>
    <w:p w14:paraId="364EA705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IMPORTANTE OF NEMATODE RESISTANCE</w:t>
      </w:r>
    </w:p>
    <w:p w14:paraId="3569A12E">
      <w:pPr>
        <w:rPr>
          <w:rFonts w:hint="default"/>
          <w:lang w:val="pt-BR"/>
        </w:rPr>
      </w:pPr>
    </w:p>
    <w:p w14:paraId="664A3189">
      <w:pPr>
        <w:rPr>
          <w:rFonts w:hint="default"/>
          <w:lang w:val="pt-BR"/>
        </w:rPr>
      </w:pPr>
    </w:p>
    <w:p w14:paraId="412A47F0">
      <w:pPr>
        <w:pStyle w:val="2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MATERIAL AND METHODS</w:t>
      </w:r>
    </w:p>
    <w:p w14:paraId="29691AE0">
      <w:pPr>
        <w:rPr>
          <w:rFonts w:hint="default"/>
          <w:lang w:val="pt-BR"/>
        </w:rPr>
      </w:pPr>
    </w:p>
    <w:p w14:paraId="66B38939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Plant material</w:t>
      </w:r>
    </w:p>
    <w:p w14:paraId="2228B977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The mapping population consisted of 151 F2:3 individuals from the cross between the constrasting response to root-knot nematode infection accessions Puebla-152-CIAT e Jamapa-CNF- 1671. These accessions were previously evaluated in Giordani et al. (2022), atesting Puebla-152-CIAT as moderate resistant and Jamapa-CNF- 1671 as susceptible. The population was created by Agronomic Institute (IAC) - Grains and Fibers Center in 2020. Generational advancement from F1 to F3 was carried out using the Single Seed Descent (SSD) method in a greenhouse in the Department of Genetics in the University of Sao Paulo in November of 2021 (F1 to F2) and February of 2022 (F2 to F3).</w:t>
      </w:r>
    </w:p>
    <w:p w14:paraId="324556EA">
      <w:pPr>
        <w:rPr>
          <w:rFonts w:hint="default"/>
          <w:lang w:val="pt-BR"/>
        </w:rPr>
      </w:pPr>
    </w:p>
    <w:p w14:paraId="246674FF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Inoculum preparation</w:t>
      </w:r>
    </w:p>
    <w:p w14:paraId="67CC77EE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The Meloidogyne incognita race 3 was firstly collected in a infested cotton production area in the middle west in Brazil. The maintance of the inoculum was the same as described in Floriani et al. (2025).</w:t>
      </w:r>
    </w:p>
    <w:p w14:paraId="74BA99D3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Phenotyping</w:t>
      </w:r>
    </w:p>
    <w:p w14:paraId="44867762">
      <w:pPr>
        <w:rPr>
          <w:rFonts w:hint="default"/>
          <w:lang w:val="pt-BR"/>
        </w:rPr>
      </w:pPr>
      <w:r>
        <w:rPr>
          <w:rFonts w:hint="default"/>
          <w:lang w:val="pt-BR"/>
        </w:rPr>
        <w:t>The phenotyping experiment was conducted using 151 individuals F2:3, two parents as controls and a moderate resistant and one susceptible individual in a growth chamber. The protocol used is an adaptation described in Giordani et al (2022) of the protocol proposed by Atamian et al (2012).</w:t>
      </w:r>
    </w:p>
    <w:p w14:paraId="75007701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 xml:space="preserve">The experiment was conducted as a augmented incomplete block design which contained four blocks with six replicates each. The adjusted mean was obtained using the </w:t>
      </w:r>
      <w:r>
        <w:rPr>
          <w:rFonts w:hint="default" w:eastAsia="Times New Roman"/>
          <w:i/>
          <w:iCs/>
          <w:lang w:val="pt-BR"/>
        </w:rPr>
        <w:t>ASRemL</w:t>
      </w:r>
      <w:r>
        <w:rPr>
          <w:rFonts w:hint="default" w:eastAsia="Times New Roman"/>
          <w:lang w:val="pt-BR"/>
        </w:rPr>
        <w:t xml:space="preserve"> package following model:</w:t>
      </w:r>
    </w:p>
    <w:p w14:paraId="786217CA">
      <w:pPr>
        <w:rPr>
          <w:rFonts w:hint="default"/>
          <w:lang w:val="pt-BR"/>
        </w:rPr>
      </w:pPr>
    </w:p>
    <w:p w14:paraId="2BC3AC3C">
      <w:pPr>
        <w:jc w:val="center"/>
        <w:rPr>
          <w:rFonts w:hint="default" w:ascii="Cambria Math" w:hAnsi="Cambria Math"/>
          <w:i/>
        </w:rPr>
      </w:pPr>
      <w:r>
        <w:rPr>
          <w:rFonts w:hint="default" w:ascii="Calibri" w:hAnsi="Cambria Math"/>
          <w:i w:val="0"/>
          <w:lang w:val="pt-BR"/>
        </w:rPr>
        <w:t xml:space="preserve">                            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ijkl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=μ+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(j)</m:t>
            </m:r>
            <m:r>
              <m:rPr/>
              <w:rPr>
                <w:rFonts w:hint="default" w:ascii="Cambria Math" w:hAnsi="Cambria Math"/>
                <w:lang w:val="pt-BR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  <w:lang w:val="pt-BR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  <w:lang w:val="pt-BR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ijkl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/>
          <w:lang w:val="pt-BR"/>
        </w:rPr>
        <w:t xml:space="preserve">                          (1)</w:t>
      </w:r>
      <w:r>
        <w:rPr>
          <w:rFonts w:hint="default" w:ascii="Cambria Math" w:hAnsi="Cambria Math"/>
          <w:i/>
        </w:rPr>
        <w:br w:type="textWrapping"/>
      </w:r>
    </w:p>
    <w:p w14:paraId="0E5D1CE8">
      <w:pPr>
        <w:jc w:val="both"/>
        <w:rPr>
          <w:rFonts w:hint="default" w:ascii="Calibri" w:hAnsi="Cambria Math"/>
          <w:i w:val="0"/>
          <w:lang w:val="pt-BR"/>
        </w:rPr>
      </w:pPr>
      <w:r>
        <w:rPr>
          <w:rFonts w:hint="default" w:asciiTheme="minorAscii" w:hAnsiTheme="minorAscii"/>
          <w:i w:val="0"/>
          <w:iCs/>
          <w:lang w:val="pt-BR"/>
        </w:rPr>
        <w:t xml:space="preserve">Where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ijkl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phenotype observed of the k-esm genotype of the i-esm replicate of the j- esm block of the i-esm replicate, </w:t>
      </w:r>
      <m:oMath>
        <m:r>
          <m:rPr/>
          <w:rPr>
            <w:rFonts w:hint="default" w:ascii="Cambria Math" w:hAnsi="Cambria Math"/>
          </w:rPr>
          <m:t>μ</m:t>
        </m:r>
      </m:oMath>
      <w:r>
        <m:rPr/>
        <w:rPr>
          <w:rFonts w:hint="default" w:ascii="Calibri" w:hAnsi="Cambria Math"/>
          <w:i w:val="0"/>
          <w:lang w:val="pt-BR"/>
        </w:rPr>
        <w:t xml:space="preserve"> is the intercept,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fixed effect of the i-esm replicate (i = 1, ... , 6),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j(i)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random effect of the block into the i-esm replicate (j = 1, ..., 4),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k-esm fixed effect of the genotype (g = 1, ..., 151),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fixed effect of the controls (l = 1, ..., 4) and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ijkl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residual effect.</w:t>
      </w:r>
    </w:p>
    <w:p w14:paraId="628A5F1A">
      <w:pPr>
        <w:jc w:val="both"/>
        <w:rPr>
          <w:rFonts w:hint="default" w:ascii="Calibri" w:hAnsi="Cambria Math"/>
          <w:i w:val="0"/>
          <w:lang w:val="pt-BR"/>
        </w:rPr>
      </w:pPr>
    </w:p>
    <w:p w14:paraId="00698931">
      <w:pPr>
        <w:jc w:val="both"/>
        <w:rPr>
          <w:rFonts w:hint="default" w:ascii="Calibri" w:hAnsi="Cambria Math"/>
          <w:i w:val="0"/>
          <w:lang w:val="pt-BR"/>
        </w:rPr>
      </w:pPr>
      <w:r>
        <w:rPr>
          <w:rFonts w:hint="default" w:ascii="Calibri" w:hAnsi="Cambria Math"/>
          <w:i w:val="0"/>
          <w:lang w:val="pt-BR"/>
        </w:rPr>
        <w:t>The Pearson correlation was estimated between the traits GI and MO using rhe cor in R software. The heritability was estimated as suggested in Cullis et al. (2006) using the following equation:</w:t>
      </w:r>
    </w:p>
    <w:p w14:paraId="506E96C2">
      <w:pPr>
        <w:jc w:val="both"/>
        <w:rPr>
          <w:rFonts w:hint="default" w:ascii="Calibri" w:hAnsi="Cambria Math"/>
          <w:i w:val="0"/>
          <w:lang w:val="pt-BR"/>
        </w:rPr>
      </w:pPr>
    </w:p>
    <w:p w14:paraId="7B99A750">
      <w:pPr>
        <w:ind w:firstLine="300" w:firstLineChars="150"/>
        <w:jc w:val="center"/>
        <w:rPr>
          <w:rFonts w:hint="default" w:ascii="Calibri" w:hAnsi="Cambria Math"/>
          <w:i w:val="0"/>
          <w:lang w:val="pt-BR"/>
        </w:rPr>
      </w:pPr>
      <w:r>
        <w:rPr>
          <w:rFonts w:hint="default" w:ascii="Calibri" w:hAnsi="Cambria Math"/>
          <w:i w:val="0"/>
          <w:lang w:val="pt-BR"/>
        </w:rPr>
        <w:t xml:space="preserve">                                                     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hint="default" w:ascii="Cambria Math" w:hAnsi="Cambria Math"/>
          </w:rPr>
          <m:t>=1−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BLUP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2</m:t>
            </m:r>
            <m:sSubSup>
              <m:sSubSupPr>
                <m:ctrlPr>
                  <w:rPr>
                    <w:rFonts w:hint="default"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g</m:t>
                </m:r>
                <m:ctrlPr>
                  <w:rPr>
                    <w:rFonts w:hint="default" w:ascii="Cambria Math" w:hAnsi="Cambria Math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hint="default" w:ascii="Cambria Math" w:hAnsi="Cambria Math"/>
                  </w:rPr>
                </m:ctrlPr>
              </m:sup>
            </m:sSubSup>
            <m:ctrlPr>
              <w:rPr>
                <w:rFonts w:hint="default" w:ascii="Cambria Math" w:hAnsi="Cambria Math"/>
              </w:rPr>
            </m:ctrlPr>
          </m:den>
        </m:f>
      </m:oMath>
      <w:r>
        <w:rPr>
          <w:rFonts w:hint="default" w:ascii="Calibri" w:hAnsi="Cambria Math"/>
          <w:i w:val="0"/>
          <w:lang w:val="pt-BR"/>
        </w:rPr>
        <w:t xml:space="preserve">                                                        (2)</w:t>
      </w:r>
    </w:p>
    <w:p w14:paraId="1DCB586E">
      <w:pPr>
        <w:jc w:val="both"/>
        <w:rPr>
          <w:rFonts w:hint="default" w:hAnsi="Cambria Math"/>
          <w:i w:val="0"/>
          <w:lang w:val="pt-BR"/>
        </w:rPr>
      </w:pPr>
      <w:r>
        <w:rPr>
          <w:rFonts w:hint="default" w:hAnsi="Cambria Math"/>
          <w:i w:val="0"/>
          <w:lang w:val="pt-BR"/>
        </w:rPr>
        <w:t xml:space="preserve">Where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default" w:ascii="Calibri" w:hAnsi="Cambria Math"/>
          <w:i w:val="0"/>
          <w:lang w:val="pt-BR"/>
        </w:rPr>
        <w:t xml:space="preserve"> is the generalized heritability of Cullis, described in Cullis et al. (2006),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BLUP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ascii="Calibri" w:hAnsi="Cambria Math"/>
          <w:i w:val="0"/>
          <w:lang w:val="pt-BR"/>
        </w:rPr>
        <w:t xml:space="preserve"> is the [</w:t>
      </w:r>
      <w:r>
        <w:rPr>
          <w:rFonts w:hint="default" w:ascii="Calibri" w:hAnsi="Cambria Math"/>
          <w:i w:val="0"/>
          <w:highlight w:val="yellow"/>
          <w:lang w:val="pt-BR"/>
        </w:rPr>
        <w:t>colocar o termo certo aqui</w:t>
      </w:r>
      <w:r>
        <w:rPr>
          <w:rFonts w:hint="default" w:ascii="Calibri" w:hAnsi="Cambria Math"/>
          <w:i w:val="0"/>
          <w:lang w:val="pt-BR"/>
        </w:rPr>
        <w:t xml:space="preserve">] and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hint="default"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p>
        </m:sSubSup>
      </m:oMath>
      <w:r>
        <w:rPr>
          <w:rFonts w:hint="default" w:ascii="Calibri" w:hAnsi="Cambria Math"/>
          <w:i w:val="0"/>
          <w:lang w:val="pt-BR"/>
        </w:rPr>
        <w:t xml:space="preserve"> is the genetic variance.</w:t>
      </w:r>
    </w:p>
    <w:p w14:paraId="3D1F714E">
      <w:pPr>
        <w:jc w:val="both"/>
        <m:rPr/>
        <w:rPr>
          <w:rFonts w:hint="default" w:hAnsi="Cambria Math"/>
          <w:i w:val="0"/>
          <w:lang w:val="pt-BR" w:eastAsia="zh-CN"/>
        </w:rPr>
      </w:pPr>
    </w:p>
    <w:p w14:paraId="65CAD8A0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DNA extraction</w:t>
      </w:r>
      <w:bookmarkStart w:id="0" w:name="_GoBack"/>
      <w:bookmarkEnd w:id="0"/>
    </w:p>
    <w:p w14:paraId="700C9A35">
      <w:pPr>
        <w:rPr>
          <w:rFonts w:hint="default"/>
          <w:lang w:val="pt-BR"/>
        </w:rPr>
      </w:pPr>
      <w:r>
        <w:rPr>
          <w:rFonts w:hint="default"/>
          <w:lang w:val="pt-BR"/>
        </w:rPr>
        <w:t>The DNA was extracted individually from fresh leaves from the 151 individuals and from the two parents using the  modified CTAB method (Doyle &amp; Doyle, 1987). The samples were purified with the QIAquick® PCR Purification Kit (250 – QIAgen Group) and the DNA quality was accessed in a 1,0% concentration agarose gel colored with SYBR SAFE (Invitrogen, Carlsbad). The DNA concentration was quantified using the fluorometer Invitrogen Qubit® 4.0 Fluorometer (ThermoFisher Scientific), and it was stored in a -20 °C freezer.</w:t>
      </w:r>
    </w:p>
    <w:p w14:paraId="1467497E">
      <w:pPr>
        <w:rPr>
          <w:rFonts w:hint="default"/>
          <w:lang w:val="pt-BR"/>
        </w:rPr>
      </w:pPr>
    </w:p>
    <w:p w14:paraId="45F76401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GBS library </w:t>
      </w:r>
    </w:p>
    <w:p w14:paraId="5FE428B5">
      <w:pPr>
        <w:rPr>
          <w:rFonts w:hint="default"/>
          <w:lang w:val="pt-BR"/>
        </w:rPr>
      </w:pPr>
    </w:p>
    <w:p w14:paraId="73977609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Linkage mapping construction</w:t>
      </w:r>
    </w:p>
    <w:p w14:paraId="2B89F944">
      <w:pPr>
        <w:rPr>
          <w:rFonts w:hint="default"/>
          <w:lang w:val="pt-BR"/>
        </w:rPr>
      </w:pPr>
    </w:p>
    <w:p w14:paraId="0D3FEF03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QTL mapping</w:t>
      </w:r>
    </w:p>
    <w:p w14:paraId="6588D72C">
      <w:pPr>
        <w:rPr>
          <w:rFonts w:hint="default"/>
          <w:lang w:val="pt-BR"/>
        </w:rPr>
      </w:pPr>
    </w:p>
    <w:p w14:paraId="07F888C4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Candidate genes</w:t>
      </w:r>
    </w:p>
    <w:p w14:paraId="02E79F44">
      <w:pPr>
        <w:rPr>
          <w:rFonts w:hint="default"/>
          <w:lang w:val="pt-BR"/>
        </w:rPr>
      </w:pPr>
    </w:p>
    <w:p w14:paraId="41E6A868">
      <w:pPr>
        <w:rPr>
          <w:rFonts w:hint="default"/>
          <w:lang w:val="pt-BR"/>
        </w:rPr>
      </w:pPr>
    </w:p>
    <w:p w14:paraId="4EC9CD73">
      <w:pPr>
        <w:pStyle w:val="2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 xml:space="preserve">RESULTS </w:t>
      </w:r>
    </w:p>
    <w:p w14:paraId="51F9D981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Phenotyping</w:t>
      </w:r>
    </w:p>
    <w:p w14:paraId="1BF36FF0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 xml:space="preserve">A correlação de peason foi de 0,47 (p-valor de 8,718e-10). </w:t>
      </w:r>
    </w:p>
    <w:p w14:paraId="3B63549A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O valor médio de NMO foi de 61,9, sendo mais próximo ao genitor suscetível. A herdabilidade de Cullis para os caracteres IG e NMO são de 0,49 e 0,34 respectivamente.</w:t>
      </w:r>
    </w:p>
    <w:p w14:paraId="501AE984">
      <w:pPr>
        <w:pStyle w:val="3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Linkage mapping</w:t>
      </w:r>
    </w:p>
    <w:p w14:paraId="5E5D8220">
      <w:pPr>
        <w:rPr>
          <w:rFonts w:hint="default"/>
          <w:lang w:val="pt-BR"/>
        </w:rPr>
      </w:pPr>
    </w:p>
    <w:p w14:paraId="50F06DD8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 xml:space="preserve">O mapa de ligação foi construído com 707 marcadores SNPs. </w:t>
      </w:r>
    </w:p>
    <w:p w14:paraId="53B61D69">
      <w:pPr>
        <w:pStyle w:val="2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DISCUSSION</w:t>
      </w:r>
    </w:p>
    <w:p w14:paraId="0CFD4DD4">
      <w:pPr>
        <w:rPr>
          <w:rFonts w:hint="default"/>
          <w:lang w:val="pt-BR"/>
        </w:rPr>
      </w:pPr>
    </w:p>
    <w:p w14:paraId="23347689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 xml:space="preserve">Explicar mais sobre o sinal do chr 7,2, e 11 </w:t>
      </w:r>
    </w:p>
    <w:p w14:paraId="17BA82D6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Ver quais os genes dos outros sinais do QTL, pode ser que tenha alguma coisa interessante biologicamente lá. Indicar que provavelmente numa população maior e em homozigose conseguirá-se encontrar um sinal mais forte.</w:t>
      </w:r>
    </w:p>
    <w:p w14:paraId="04B62908">
      <w:pPr>
        <w:rPr>
          <w:rFonts w:hint="default"/>
          <w:lang w:val="pt-BR"/>
        </w:rPr>
      </w:pPr>
    </w:p>
    <w:p w14:paraId="2464840F">
      <w:pPr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Trabalho do Willian ele achou snps nos cromossomos 6,7,8 e 11 pra número de massas de ovos. NO entanto, as regiões são bem distintas. No cromossomo 11 foi na porção final perto dos telômeros. Um ponto interessante do meu trabalho é que os marcadores significativos/com associação estão na porção inicial dos cromossomos.  E que as regiões mapeadas são distintas do trabalho de Floriani et al. (2025) em que foi mapeado um QTL no Pv10 e outros três nos cromossomos Pv03, Pv05 e Pv08 para o caráter Índice de galhas.</w:t>
      </w:r>
    </w:p>
    <w:p w14:paraId="292C6ADD">
      <w:pPr>
        <w:pStyle w:val="2"/>
        <w:bidi w:val="0"/>
        <w:rPr>
          <w:rFonts w:hint="default"/>
          <w:lang w:val="pt-BR"/>
        </w:rPr>
      </w:pPr>
      <w:r>
        <w:rPr>
          <w:rFonts w:hint="default" w:eastAsia="Times New Roman"/>
          <w:lang w:val="pt-BR"/>
        </w:rPr>
        <w:t>CONCLUSION</w:t>
      </w:r>
    </w:p>
    <w:p w14:paraId="1CF33397">
      <w:pPr>
        <w:rPr>
          <w:rFonts w:hint="default"/>
          <w:lang w:val="pt-BR"/>
        </w:rPr>
      </w:pPr>
    </w:p>
    <w:p w14:paraId="25E04F69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F4AF2"/>
    <w:rsid w:val="011C4462"/>
    <w:rsid w:val="012717BA"/>
    <w:rsid w:val="01975BAC"/>
    <w:rsid w:val="02125874"/>
    <w:rsid w:val="038E0C11"/>
    <w:rsid w:val="03A865F1"/>
    <w:rsid w:val="04350960"/>
    <w:rsid w:val="04AC2FBA"/>
    <w:rsid w:val="0BD55B04"/>
    <w:rsid w:val="0BE534B9"/>
    <w:rsid w:val="0C272F14"/>
    <w:rsid w:val="0E9F0D0D"/>
    <w:rsid w:val="0F2A57D8"/>
    <w:rsid w:val="0F504E54"/>
    <w:rsid w:val="101E7329"/>
    <w:rsid w:val="10C62B6E"/>
    <w:rsid w:val="11B16C35"/>
    <w:rsid w:val="11F7454E"/>
    <w:rsid w:val="136B18B4"/>
    <w:rsid w:val="1398154B"/>
    <w:rsid w:val="154D3E45"/>
    <w:rsid w:val="155213EE"/>
    <w:rsid w:val="16423AF1"/>
    <w:rsid w:val="16713C50"/>
    <w:rsid w:val="16F60D90"/>
    <w:rsid w:val="1743228E"/>
    <w:rsid w:val="17DF4AF2"/>
    <w:rsid w:val="198D33F3"/>
    <w:rsid w:val="1B5F5177"/>
    <w:rsid w:val="1C2C3A76"/>
    <w:rsid w:val="1CDB6D44"/>
    <w:rsid w:val="1DA47385"/>
    <w:rsid w:val="1E107C03"/>
    <w:rsid w:val="1EBB641F"/>
    <w:rsid w:val="228C7EF3"/>
    <w:rsid w:val="248A499F"/>
    <w:rsid w:val="26E3571A"/>
    <w:rsid w:val="27BB42DB"/>
    <w:rsid w:val="289F1B78"/>
    <w:rsid w:val="29096A1C"/>
    <w:rsid w:val="2A773F3F"/>
    <w:rsid w:val="2D323B71"/>
    <w:rsid w:val="2FA0010C"/>
    <w:rsid w:val="30754ED6"/>
    <w:rsid w:val="32CC41E5"/>
    <w:rsid w:val="338238F5"/>
    <w:rsid w:val="3410673E"/>
    <w:rsid w:val="36665DD6"/>
    <w:rsid w:val="36762195"/>
    <w:rsid w:val="36807E79"/>
    <w:rsid w:val="388061F1"/>
    <w:rsid w:val="3D0C1EF4"/>
    <w:rsid w:val="3DCD4740"/>
    <w:rsid w:val="416C1A0A"/>
    <w:rsid w:val="41CD3A3F"/>
    <w:rsid w:val="42B42DBF"/>
    <w:rsid w:val="443D549C"/>
    <w:rsid w:val="4A1C0D50"/>
    <w:rsid w:val="4D006656"/>
    <w:rsid w:val="4DCE2F76"/>
    <w:rsid w:val="4E4E4B07"/>
    <w:rsid w:val="4F5C097D"/>
    <w:rsid w:val="4F6B3717"/>
    <w:rsid w:val="50D769BD"/>
    <w:rsid w:val="525E696C"/>
    <w:rsid w:val="53A34E57"/>
    <w:rsid w:val="5BD1221B"/>
    <w:rsid w:val="5C0311E0"/>
    <w:rsid w:val="5D5604BA"/>
    <w:rsid w:val="60396768"/>
    <w:rsid w:val="61E859F0"/>
    <w:rsid w:val="62EF1E31"/>
    <w:rsid w:val="634C7F67"/>
    <w:rsid w:val="6353619B"/>
    <w:rsid w:val="639D685A"/>
    <w:rsid w:val="646002BB"/>
    <w:rsid w:val="65C50411"/>
    <w:rsid w:val="65D64B9F"/>
    <w:rsid w:val="6C860DA0"/>
    <w:rsid w:val="73483566"/>
    <w:rsid w:val="76506BDF"/>
    <w:rsid w:val="77696B99"/>
    <w:rsid w:val="79566746"/>
    <w:rsid w:val="7A882CE1"/>
    <w:rsid w:val="7BBF2AA2"/>
    <w:rsid w:val="7D7B0C16"/>
    <w:rsid w:val="7E3B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2025-10-30T21:01:00Z</dcterms:created>
  <dc:creator>Bruna Marques Moreno</dc:creator>
  <cp:lastModifiedBy>Bruna Marques Moreno</cp:lastModifiedBy>
  <dcterms:modified xsi:type="dcterms:W3CDTF">2025-12-10T20:00:53Z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C613FFC20B41407AAA33DF5D765A2647_11</vt:lpwstr>
  </property>
</Properties>
</file>