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Référentiel de notation (1 = inadapté → 5 = excellent pour BricoLoc)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60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Signification</w:t>
            </w:r>
          </w:p>
        </w:tc>
        <w:tc>
          <w:tcPr>
            <w:tcW w:type="dxa" w:w="6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Contexte BricoLoc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9"/>
                <w:szCs w:val="19"/>
              </w:rPr>
              <w:t xml:space="preserve">5/5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Excellent — répond parfaitement</w:t>
            </w:r>
          </w:p>
        </w:tc>
        <w:tc>
          <w:tcPr>
            <w:tcW w:type="dxa" w:w="6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Monolithe modulaire pour la faisabilité équipe : Spring Boot maîtrisé, 0 DevOps requis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9"/>
                <w:szCs w:val="19"/>
              </w:rPr>
              <w:t xml:space="preserve">4/5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Bon — répond bien, réserves mineures</w:t>
            </w:r>
          </w:p>
        </w:tc>
        <w:tc>
          <w:tcPr>
            <w:tcW w:type="dxa" w:w="6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Microservices pour la sécurité : isolation forte mais surface d'attaque distribuée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D00"/>
                <w:sz w:val="19"/>
                <w:szCs w:val="19"/>
              </w:rPr>
              <w:t xml:space="preserve">3/5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Acceptable — répond partiellement</w:t>
            </w:r>
          </w:p>
        </w:tc>
        <w:tc>
          <w:tcPr>
            <w:tcW w:type="dxa" w:w="6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SOA pour la performance : transformations ESB ajoutent de la latence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2/5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Insuffisant — limitations importantes</w:t>
            </w:r>
          </w:p>
        </w:tc>
        <w:tc>
          <w:tcPr>
            <w:tcW w:type="dxa" w:w="6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N-tiers pour la scalabilité : impossible de scaler un module indépendamment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1/5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Inadapté / très mauvais</w:t>
            </w:r>
          </w:p>
        </w:tc>
        <w:tc>
          <w:tcPr>
            <w:tcW w:type="dxa" w:w="6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5"/>
                <w:szCs w:val="15"/>
              </w:rPr>
              <w:t xml:space="preserve">N-tiers pour la disponibilité : panne globale dès qu'un composant cède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Critères d'évaluation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400"/>
        <w:gridCol w:w="630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ENF-01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Réponse catalogue &lt;2s P95, APIs &lt;500ms, support pics ×3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ENF-02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Disponibilité &amp; Résilience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SLA ≥99,5%, RTO &lt;4h, RPO &lt;1h, zéro SPOF non mitigé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Scalabilité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Scale-out sans interruption, expansion européenne en &lt;1 sprint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ENF-04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Sécurité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IAM centralisé (0 compte BDD), RGPD, PCI-DSS Stripe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Maintenabilité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Tests ≥70%, zéro PL/SQL, APIs OpenAPI, onboarding dev &lt;2 sem.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ENF-06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Interopérabilité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APIs REST SAP, Stripe v3, Power BI, multi-tenant marque blanche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ENF-07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Portabilité / Cloud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Cloud-ready, Docker, indépendance SGBDR, CI/CD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ENF-08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Observabilité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Logs centralisés, alertes automatiques, traçabilité bout en bout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C09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30%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Faisabilité équipe 5 devs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Opérable par 5 devs Java/Python/.NET sans DevOps dédié ? (CRITIQUE)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C10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20%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Migration progressive (Strangler)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Compatible Strangler Fig ? Remplacement module par module sans Big Bang ?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C11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Délai de valeur (time-to-market)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Temps avant la première mise en production utilisable ?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Matrice de comparaison des 5 styles architecturaux</w:t>
      </w:r>
    </w:p>
    <w:tbl>
      <w:tblPr>
        <w:tblW w:type="dxa" w:w="8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2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300"/>
            <w:vMerge w:val="restart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620"/>
            <w:vMerge w:val="restart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550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6D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 par style architectural  (1 = inadapté → 5 = excellent)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/>
        </w:tc>
        <w:tc>
          <w:tcPr>
            <w:vMerge w:val="continue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/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Monolithe modulaire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N-tiers (actuel)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SOA / ESB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Événementiel ciblé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ENF-01  Performance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ENF-02  Disponibilité &amp; Résilience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1/5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ENF-03  Scalabilité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1/5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ENF-04  Sécurité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ENF-05  Maintenabilité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1/5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ENF-06  Interopérabilité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ENF-07  Portabilité / Cloud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ENF-08  Observabilité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C09  Faisabilité équipe 5 devs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30%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1/5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C10  Migration progressive (Strangler)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C11  Délai de valeur (time-to-market)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1/5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 /55</w:t>
            </w:r>
          </w:p>
        </w:tc>
        <w:tc>
          <w:tcPr>
            <w:tcW w:type="dxa" w:w="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D00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6D00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40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Synthèse des verdicts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700"/>
        <w:gridCol w:w="690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Style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6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Motif principal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Monolithe modulaire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40/55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6"/>
                <w:szCs w:val="16"/>
              </w:rPr>
              <w:t xml:space="preserve">✅ Retenu</w:t>
            </w:r>
          </w:p>
        </w:tc>
        <w:tc>
          <w:tcPr>
            <w:tcW w:type="dxa" w:w="6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Faisable par 5 devs, migration Strangler Fig, transactions ACID, Spring Boot maîtrisé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Événementiel ciblé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40/55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6"/>
                <w:szCs w:val="16"/>
              </w:rPr>
              <w:t xml:space="preserve">✅ Retenu</w:t>
            </w:r>
          </w:p>
        </w:tc>
        <w:tc>
          <w:tcPr>
            <w:tcW w:type="dxa" w:w="6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Stocks temps réel (remplace batch CSV SAP), découplage SAP, isolation des pannes — combiné au monolithe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Microservices purs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39/55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❌ Écarté</w:t>
            </w:r>
          </w:p>
        </w:tc>
        <w:tc>
          <w:tcPr>
            <w:tcW w:type="dxa" w:w="6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Kubernetes, service mesh, distributed tracing incompatibles avec 5 devs sans expérience DevOps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SOA / ESB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33/55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❌ Écarté</w:t>
            </w:r>
          </w:p>
        </w:tc>
        <w:tc>
          <w:tcPr>
            <w:tcW w:type="dxa" w:w="6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ESB = point de centralisation coûteux, gouvernance lourde et disproportionnée pour une PME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N-tiers actuel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23/55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❌ Écarté</w:t>
            </w:r>
          </w:p>
        </w:tc>
        <w:tc>
          <w:tcPr>
            <w:tcW w:type="dxa" w:w="6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Source de tous les problèmes actuels : logique éparpillée, couplage fort, régressions en cascade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Architecture hybride retenue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5706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Composant BricoLoc 2.0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Style retenu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Application BricoLoc (core)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E72"/>
                <w:sz w:val="16"/>
                <w:szCs w:val="16"/>
              </w:rPr>
              <w:t xml:space="preserve">Monolithe modulaire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Faisable par 5 devs, migration progressive, ACID natif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Synchronisation des stocks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E72"/>
                <w:sz w:val="16"/>
                <w:szCs w:val="16"/>
              </w:rPr>
              <w:t xml:space="preserve">Événementiel (RabbitMQ)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Remplace le batch CSV fragile, synchronisation temps réel SAP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Intégrations tierces (SAP, Stripe, prix)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E72"/>
                <w:sz w:val="16"/>
                <w:szCs w:val="16"/>
              </w:rPr>
              <w:t xml:space="preserve">APIs REST — SOA léger sans ESB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Interopérabilité sans complexité ESB, contrats OpenAPI versionnés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Marque blanche partenaires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5E72"/>
                <w:sz w:val="16"/>
                <w:szCs w:val="16"/>
              </w:rPr>
              <w:t xml:space="preserve">Multi-tenant → SaaS progressif</w:t>
            </w:r>
          </w:p>
        </w:tc>
        <w:tc>
          <w:tcPr>
            <w:tcW w:type="dxa" w:w="5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Objectif cible sans surcharge initiale, évolution vers SaaS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10106"/>
      </w:tabs>
    </w:pPr>
    <w:r>
      <w:rPr>
        <w:rFonts w:ascii="Calibri" w:cs="Calibri" w:eastAsia="Calibri" w:hAnsi="Calibri"/>
        <w:color w:val="888888"/>
        <w:sz w:val="14"/>
        <w:szCs w:val="14"/>
      </w:rPr>
      <w:t xml:space="preserve">Source : comparaison-styles-architecturaux.md  |  styles-retenus-justification.md</w:t>
    </w:r>
    <w:r>
      <w:rPr>
        <w:rFonts w:ascii="Calibri" w:cs="Calibri" w:eastAsia="Calibri" w:hAnsi="Calibri"/>
        <w:color w:val="888888"/>
        <w:sz w:val="14"/>
        <w:szCs w:val="14"/>
      </w:rPr>
      <w:t xml:space="preserve">	Page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10106"/>
      </w:tabs>
    </w:pPr>
    <w:r>
      <w:rPr>
        <w:rFonts w:ascii="Calibri" w:cs="Calibri" w:eastAsia="Calibri" w:hAnsi="Calibri"/>
        <w:b/>
        <w:bCs/>
        <w:color w:val="1E3A5F"/>
        <w:sz w:val="17"/>
        <w:szCs w:val="17"/>
      </w:rPr>
      <w:t xml:space="preserve">BricoLoc 2.0 — Annexe 1/3  |  Slide 11 : Comparaison des approches architecturales</w:t>
    </w:r>
    <w:r>
      <w:rPr>
        <w:rFonts w:ascii="Calibri" w:cs="Calibri" w:eastAsia="Calibri" w:hAnsi="Calibri"/>
        <w:color w:val="888888"/>
        <w:sz w:val="15"/>
        <w:szCs w:val="15"/>
      </w:rPr>
      <w:t xml:space="preserve">	Master 1 Architecte d'Application — CESI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2026-03-31T09:32:23.609Z</dcterms:created>
  <dcterms:modified xsi:type="dcterms:W3CDTF">2026-03-31T09:32:23.610Z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