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Referentiel de notation (1 = inadapte -&gt; 5 = parfait pour BricoLoc)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700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Signification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Illustration hebergement Cloud BricoLoc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5/5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Excellent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OVHcloud ecologie: refroidissement adiabatique, meilleur PUE europeen, 100% renouvelable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9"/>
                <w:szCs w:val="19"/>
              </w:rPr>
              <w:t xml:space="preserve">4/5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Bon, reserves mineures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OVHcloud securite: certifie ISO 27001 mais catalogue services managés moins riche qu'Azure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9"/>
                <w:szCs w:val="19"/>
              </w:rPr>
              <w:t xml:space="preserve">3/5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Acceptable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Azure legalite: CLOUD Act applicable mais attenué par engagements contractuels EU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2/5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Insuffisant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AWS legalite: CLOUD Act = risque saisie des données sans controle juridique europeen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1/5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Inadapte / tres mauvais</w:t>
            </w:r>
          </w:p>
        </w:tc>
        <w:tc>
          <w:tcPr>
            <w:tcW w:type="dxa" w:w="70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5"/>
                <w:szCs w:val="15"/>
              </w:rPr>
              <w:t xml:space="preserve">AWS finance: facture imprévisible, nécessite FinOps dédié incompatible budget PME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Criteres d'evaluation &amp; poids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200"/>
        <w:gridCol w:w="6506"/>
      </w:tblGrid>
      <w:tr>
        <w:trPr>
          <w:tblHeader/>
        </w:trP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Critere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 &amp; enjeu pour BricoLoc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C1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6"/>
                <w:szCs w:val="16"/>
              </w:rPr>
              <w:t xml:space="preserve">20%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Legal &amp; Souverainete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Données protegees par le droit europeen (RGPD) ou soumises au CLOUD Act americain ?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C2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6"/>
                <w:szCs w:val="16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Securite &amp; Confiance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Certifications ISO, chiffrements robustes, SLA de disponibilite, historique de pannes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C3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6"/>
                <w:szCs w:val="16"/>
              </w:rPr>
              <w:t xml:space="preserve">25%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Independence technique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Reversibilite (facilite de quitter), integration avec l'ecosysteme existant (Microsoft)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C4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6"/>
                <w:szCs w:val="16"/>
              </w:rPr>
              <w:t xml:space="preserve">20%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Maitrise financiere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Previsibilite de la facture (FinOps PME). Absence de frais d'egress caches sur les données sortantes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C5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6"/>
                <w:szCs w:val="16"/>
              </w:rPr>
              <w:t xml:space="preserve">10%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Ecologie (Green IT)</w:t>
            </w:r>
          </w:p>
        </w:tc>
        <w:tc>
          <w:tcPr>
            <w:tcW w:type="dxa" w:w="650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5"/>
                <w:szCs w:val="15"/>
              </w:rPr>
              <w:t xml:space="preserve">Reduction d'energie et d'eau mesurable, certifications environnementales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Matrice de comparaison des fournisseurs cloud</w:t>
      </w:r>
    </w:p>
    <w:tbl>
      <w:tblPr>
        <w:tblW w:type="dxa" w:w="101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1441"/>
        <w:gridCol w:w="1441"/>
        <w:gridCol w:w="1441"/>
        <w:gridCol w:w="1441"/>
        <w:gridCol w:w="1441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Poids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Microsoft Azure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5436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Scaleway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OVHcloud (retenu)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Google Cloud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AWS (Amazon)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Legal &amp; Souverainete (20%)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20%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2/5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Securite &amp; Confiance (25%)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25%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Independence technique (25%)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25%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Maitrise financiere (20%)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20%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8"/>
                <w:szCs w:val="18"/>
              </w:rPr>
              <w:t xml:space="preserve">2/5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Ecologie Green IT (10%)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5"/>
                <w:szCs w:val="15"/>
              </w:rPr>
              <w:t xml:space="preserve">10%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8"/>
                <w:szCs w:val="18"/>
              </w:rPr>
              <w:t xml:space="preserve">5/5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6B3C"/>
                <w:sz w:val="18"/>
                <w:szCs w:val="18"/>
              </w:rPr>
              <w:t xml:space="preserve">4/5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8A6D00"/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global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100%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4.10/5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4.40/5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20"/>
                <w:szCs w:val="20"/>
              </w:rPr>
              <w:t xml:space="preserve">4.50/5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3.60/5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3.35/5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Classement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5"/>
                <w:szCs w:val="15"/>
              </w:rPr>
              <w:t xml:space="preserve"/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6DA4"/>
                <w:sz w:val="17"/>
                <w:szCs w:val="17"/>
              </w:rPr>
              <w:t xml:space="preserve">3eme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17"/>
                <w:szCs w:val="17"/>
              </w:rPr>
              <w:t xml:space="preserve">2eme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7"/>
                <w:szCs w:val="17"/>
              </w:rPr>
              <w:t xml:space="preserve">1er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4eme</w:t>
            </w:r>
          </w:p>
        </w:tc>
        <w:tc>
          <w:tcPr>
            <w:tcW w:type="dxa" w:w="144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17"/>
                <w:szCs w:val="17"/>
              </w:rPr>
              <w:t xml:space="preserve">5eme</w:t>
            </w:r>
          </w:p>
        </w:tc>
      </w:tr>
    </w:tbl>
    <w:p>
      <w:pPr>
        <w:spacing w:after="80" w:before="180"/>
      </w:pPr>
      <w:r>
        <w:t xml:space="preserve"/>
      </w:r>
    </w:p>
    <w:p>
      <w:pPr>
        <w:pBdr>
          <w:bottom w:val="single" w:color="2E6DA4" w:sz="3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Analyse detaillee par fournisseur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53"/>
        <w:gridCol w:w="3953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Fournisseur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Points + pour BricoLoc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8281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Limites / Points d'attention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OVHcloud  4,50/5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100% droit europeen - pas d'exposition CLOUD Act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Bande passante illimitee incluse, facturation claire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Champion Green IT: refroidissement adiabatique, meilleur PUE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vRack reseau prive, Managed Kubernetes, PostgreSQL manage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Catalogue services managés moins riche que les hyperscalers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Integration Active Directory moins native qu'Azure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Scaleway  4,40/5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Acteur francais (Groupe Iliad), souverainete totale RGPD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Facturation transparente, sans frais d'egress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Datacenter alimente en energie renouvelable 100%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Catalogue de services managés moins complet qu'OVH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Ecosysteme partenaires moins large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Microsoft Azure  4,10/5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Integration native AD, Office 365, Power BI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Catalogue tres complet (PostgreSQL, Container Apps, AKS)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Certifications sectorielles nombreuses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Soumis au CLOUD Act americain - risque juridique donnees clients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Couts bande passante difficiles a maitriser sans FinOps dedie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Google Cloud  3,60/5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Puissance technique, Kubernetes natif (GKE)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Societe americaine - CLOUD Act applicable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Positionnement enterprise inadapte budget BricoLoc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6"/>
                <w:szCs w:val="16"/>
              </w:rPr>
              <w:t xml:space="preserve">AWS (Amazon)  3,35/5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A6B3C"/>
                <w:sz w:val="15"/>
                <w:szCs w:val="15"/>
              </w:rPr>
              <w:t xml:space="preserve">+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Leader mondial, catalogue le plus etendu</w:t>
            </w:r>
          </w:p>
        </w:tc>
        <w:tc>
          <w:tcPr>
            <w:tcW w:type="dxa" w:w="395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CLOUD Act americain applicable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Facturation complexe, nécessite FinOps dedie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5"/>
                <w:szCs w:val="15"/>
              </w:rPr>
              <w:t xml:space="preserve">- </w:t>
            </w: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Ecarte car incompatible RGPD + budget PME BricoLoc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 w:space="4"/>
      </w:pBdr>
      <w:tabs>
        <w:tab w:val="right" w:pos="10106"/>
      </w:tabs>
    </w:pPr>
    <w:r>
      <w:rPr>
        <w:rFonts w:ascii="Calibri" w:cs="Calibri" w:eastAsia="Calibri" w:hAnsi="Calibri"/>
        <w:color w:val="888888"/>
        <w:sz w:val="14"/>
        <w:szCs w:val="14"/>
      </w:rPr>
      <w:t xml:space="preserve">Source : matrice-choix-cloud-v2.md  |  synthese-globale.md</w:t>
    </w:r>
    <w:r>
      <w:rPr>
        <w:rFonts w:ascii="Calibri" w:cs="Calibri" w:eastAsia="Calibri" w:hAnsi="Calibri"/>
        <w:color w:val="888888"/>
        <w:sz w:val="14"/>
        <w:szCs w:val="14"/>
      </w:rPr>
      <w:t xml:space="preserve">	Page </w:t>
    </w:r>
    <w:r>
      <w:rPr>
        <w:rFonts w:ascii="Calibri" w:cs="Calibri" w:eastAsia="Calibri" w:hAnsi="Calibr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tabs>
        <w:tab w:val="right" w:pos="10106"/>
      </w:tabs>
    </w:pPr>
    <w:r>
      <w:rPr>
        <w:rFonts w:ascii="Calibri" w:cs="Calibri" w:eastAsia="Calibri" w:hAnsi="Calibri"/>
        <w:b/>
        <w:bCs/>
        <w:color w:val="1E3A5F"/>
        <w:sz w:val="17"/>
        <w:szCs w:val="17"/>
      </w:rPr>
      <w:t xml:space="preserve">BricoLoc 2.0 - Annexe 3/3  |  Slide 14 : Le verdict de l'hebergeur Cloud</w:t>
    </w:r>
    <w:r>
      <w:rPr>
        <w:rFonts w:ascii="Calibri" w:cs="Calibri" w:eastAsia="Calibri" w:hAnsi="Calibri"/>
        <w:color w:val="888888"/>
        <w:sz w:val="15"/>
        <w:szCs w:val="15"/>
      </w:rPr>
      <w:t xml:space="preserve">	Master 1 Architecte d'Application - CESI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2026-03-31T09:34:24.101Z</dcterms:created>
  <dcterms:modified xsi:type="dcterms:W3CDTF">2026-03-31T09:34:24.102Z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