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rPr>
          <w:rFonts w:ascii="Arial" w:cs="Arial" w:eastAsia="Arial" w:hAnsi="Arial"/>
          <w:b/>
          <w:bCs/>
          <w:color w:val="111111"/>
          <w:sz w:val="64"/>
          <w:szCs w:val="64"/>
        </w:rPr>
        <w:t xml:space="preserve">GCSE Physics</w:t>
      </w:r>
    </w:p>
    <w:p>
      <w:pPr>
        <w:spacing w:before="60" w:after="60"/>
      </w:pPr>
      <w:r>
        <w:rPr>
          <w:rFonts w:ascii="Arial" w:cs="Arial" w:eastAsia="Arial" w:hAnsi="Arial"/>
          <w:color w:val="1A5C9E"/>
          <w:sz w:val="36"/>
          <w:szCs w:val="36"/>
        </w:rPr>
        <w:t xml:space="preserve">Revision Platform  ·  Curriculum Plan</w:t>
      </w:r>
    </w:p>
    <w:p>
      <w:pPr>
        <w:spacing w:before="0" w:after="0"/>
      </w:pPr>
      <w:r>
        <w:rPr>
          <w:rFonts w:ascii="Arial" w:cs="Arial" w:eastAsia="Arial" w:hAnsi="Arial"/>
          <w:color w:val="888888"/>
          <w:sz w:val="20"/>
          <w:szCs w:val="20"/>
        </w:rPr>
        <w:t xml:space="preserve">Edexcel IGCSE Physics (4PH1)  ·  Higher Tier  ·  Version 1.0  ·  February 2026</w:t>
      </w:r>
    </w:p>
    <w:p>
      <w:pPr>
        <w:pBdr>
          <w:bottom w:val="single" w:color="1A5C9E" w:sz="12" w:space="6"/>
        </w:pBdr>
        <w:spacing w:before="240" w:after="360"/>
      </w:pPr>
    </w:p>
    <w:p>
      <w:pPr>
        <w:pBdr>
          <w:bottom w:val="single" w:color="1A5C9E" w:sz="6" w:space="4"/>
        </w:pBdr>
        <w:spacing w:before="400" w:after="160"/>
      </w:pPr>
      <w:r>
        <w:rPr>
          <w:rFonts w:ascii="Arial" w:cs="Arial" w:eastAsia="Arial" w:hAnsi="Arial"/>
          <w:b/>
          <w:bCs/>
          <w:color w:val="1A5C9E"/>
          <w:sz w:val="26"/>
          <w:szCs w:val="26"/>
        </w:rPr>
        <w:t xml:space="preserve">1. Overview</w:t>
      </w:r>
    </w:p>
    <w:p>
      <w:pPr>
        <w:spacing w:before="60" w:after="60"/>
      </w:pPr>
      <w:r>
        <w:rPr>
          <w:rFonts w:ascii="Arial" w:cs="Arial" w:eastAsia="Arial" w:hAnsi="Arial"/>
          <w:color w:val="4A4A4A"/>
          <w:sz w:val="20"/>
          <w:szCs w:val="20"/>
        </w:rPr>
        <w:t xml:space="preserve">Physics is the founding subject of the GCSE revision platform — the original prototype was built around Physics motion and graph scenarios. This curriculum plan formalises the full topic coverage across the complete Edexcel IGCSE Physics (4PH1) specification, extending beyond the prototype's initial scope to all 22 topics.</w:t>
      </w:r>
    </w:p>
    <w:p>
      <w:pPr>
        <w:spacing w:before="60" w:after="60"/>
      </w:pPr>
      <w:r>
        <w:rPr>
          <w:rFonts w:ascii="Arial" w:cs="Arial" w:eastAsia="Arial" w:hAnsi="Arial"/>
          <w:color w:val="4A4A4A"/>
          <w:sz w:val="20"/>
          <w:szCs w:val="20"/>
        </w:rPr>
        <w:t xml:space="preserve">Physics established the core platform architecture: scenario-based multi-part questions, interactive SVG graphs, numeric-with-unit marking, and the Apple HIG design system. All other science modules build on these foundations.</w:t>
      </w:r>
    </w:p>
    <w:p>
      <w:pPr>
        <w:spacing w:before="160" w:after="0"/>
      </w:pPr>
      <w:r>
        <w:t xml:space="preserve"/>
      </w:r>
    </w:p>
    <w:p>
      <w:pPr>
        <w:spacing w:before="200" w:after="0"/>
      </w:pPr>
      <w:r>
        <w:t xml:space="preserve"/>
      </w:r>
    </w:p>
    <w:p>
      <w:pPr>
        <w:pBdr>
          <w:bottom w:val="single" w:color="1A5C9E" w:sz="6" w:space="4"/>
        </w:pBdr>
        <w:spacing w:before="400" w:after="160"/>
      </w:pPr>
      <w:r>
        <w:rPr>
          <w:rFonts w:ascii="Arial" w:cs="Arial" w:eastAsia="Arial" w:hAnsi="Arial"/>
          <w:b/>
          <w:bCs/>
          <w:color w:val="1A5C9E"/>
          <w:sz w:val="26"/>
          <w:szCs w:val="26"/>
        </w:rPr>
        <w:t xml:space="preserve">2. Curriculum Scope — 22 Topics Across 5 Groups</w:t>
      </w:r>
    </w:p>
    <w:p>
      <w:pPr>
        <w:spacing w:before="60" w:after="60"/>
      </w:pPr>
      <w:r>
        <w:rPr>
          <w:rFonts w:ascii="Arial" w:cs="Arial" w:eastAsia="Arial" w:hAnsi="Arial"/>
          <w:color w:val="4A4A4A"/>
          <w:sz w:val="20"/>
          <w:szCs w:val="20"/>
        </w:rPr>
        <w:t xml:space="preserve">Topics are clustered into five curriculum groups mirroring the structure of the 4PH1 specification.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760"/>
        <w:gridCol w:w="2440"/>
        <w:gridCol w:w="960"/>
      </w:tblGrid>
      <w:tr>
        <w:trPr>
          <w:tblHeader/>
        </w:trPr>
        <w:tc>
          <w:tcPr>
            <w:tcW w:type="dxa" w:w="4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w:t>
            </w:r>
          </w:p>
        </w:tc>
        <w:tc>
          <w:tcPr>
            <w:tcW w:type="dxa" w:w="18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Topic</w:t>
            </w:r>
          </w:p>
        </w:tc>
        <w:tc>
          <w:tcPr>
            <w:tcW w:type="dxa" w:w="376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Key Subtopics</w:t>
            </w:r>
          </w:p>
        </w:tc>
        <w:tc>
          <w:tcPr>
            <w:tcW w:type="dxa" w:w="244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Interaction Types</w:t>
            </w:r>
          </w:p>
        </w:tc>
        <w:tc>
          <w:tcPr>
            <w:tcW w:type="dxa" w:w="96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Scenarios</w:t>
            </w:r>
          </w:p>
        </w:tc>
      </w:tr>
      <w:tr>
        <w:tc>
          <w:tcPr>
            <w:tcW w:type="dxa" w:w="9360"/>
            <w:gridSpan w:val="5"/>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Group 1 · Forces &amp; Motion</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Motion &amp; Speed</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Distance-time graphs; speed calculations; velocity; scalar vs vector; relative motion</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(d-t), numeric with unit, MCQ</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Acceleration &amp; Velocity</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Velocity-time graphs; acceleration; area under graph = distance; equations of motion: v=u+at, s=ut+½at²</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(v-t), numeric, calculation, MCQ</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3</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Forces</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Newton's 3 laws; free body diagrams; resultant force; weight vs mass; friction; terminal velocity; Hooke's Law</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Diagram label, numeric, MCQ, graph reading</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Momentum &amp; Impulse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Momentum = mv; conservation of momentum; impulse = Ft = Δp; collisions and explosions; Newton's 2nd law (F=ma)</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explain</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5</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Work, Energy &amp; Power</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Work done = Fd cosθ; kinetic/potential/elastic energy; conservation of energy; power = W/t; efficiency</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energy diagram</w:t>
            </w:r>
          </w:p>
        </w:tc>
      </w:tr>
      <w:tr>
        <w:tc>
          <w:tcPr>
            <w:tcW w:type="dxa" w:w="9360"/>
            <w:gridSpan w:val="5"/>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Group 2 · Electricity &amp; Magnetism</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6</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Circuit Fundamentals</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Current, voltage, resistance; Ohm's Law; series and parallel circuits; ammeters, voltmeters; cell EMF and internal resistance</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Circuit diagram label, numeric, MCQ, graph reading</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7</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Electrical Components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I-V characteristics (resistor, filament lamp, diode, thermistor, LDR); resistance calculations; practical circuit design</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(I-V), MCQ, diagram label, numeric</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8</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Electrical Power &amp; Energy</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P=IV=I²R=V²/R; energy = Pt; cost of electricity; mains electricity; AC vs DC; peak and RMS values</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graph reading</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9</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Magnetism &amp; Electromagnetism</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Permanent magnets; field patterns; electromagnets; motor effect (F=BIL); Fleming's left-hand rule; electromagnetic induction</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Diagram label, MCQ, numeric, explain</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10</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Transformers &amp; the Grid</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Step-up/step-down transformers; turns ratio; Vp/Vs=Np/Ns; power transmission; National Grid; efficiency</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explain</w:t>
            </w:r>
          </w:p>
        </w:tc>
      </w:tr>
      <w:tr>
        <w:tc>
          <w:tcPr>
            <w:tcW w:type="dxa" w:w="9360"/>
            <w:gridSpan w:val="5"/>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Group 3 · Waves &amp; Light</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11</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Wave Properties</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Transverse vs longitudinal; amplitude, frequency, wavelength, wave speed; v=fλ; wave equation; period</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(wave), numeric, MCQ, diagram label</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12</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The Electromagnetic Spectrum</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EM spectrum order; properties of each region; uses and hazards; speed of light; reflection, refraction, diffraction</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MCQ, process sequence, keyword match, explain</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13</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Light &amp; Optics</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Reflection; refraction; Snell's law; total internal reflection; critical angle; lenses (convex/concave); ray diagrams</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Ray diagram (interactive SVG), numeric, MCQ, explain</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14</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Sound</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Longitudinal waves; speed in different media; pitch and loudness; echo calculations; ultrasound; seismic waves</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MCQ, graph reading, explain</w:t>
            </w:r>
          </w:p>
        </w:tc>
      </w:tr>
      <w:tr>
        <w:tc>
          <w:tcPr>
            <w:tcW w:type="dxa" w:w="9360"/>
            <w:gridSpan w:val="5"/>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Group 4 · Energy</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15</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Thermal Energy</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Conduction, convection, radiation; specific heat capacity: Q=mcΔT; specific latent heat; heating and cooling curves</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numeric, MCQ, explain</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16</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Energy Resources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Renewable vs non-renewable; fossil fuels; nuclear; solar; wind; hydroelectric; tidal; biomass; energy transfer Sankey diagrams</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Sankey diagram (SVG), MCQ, explain, data table</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17</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Pressure</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Pressure = F/A; pressure in fluids; atmospheric pressure; depth and pressure (P=hρg); Boyle's Law; gas pressure and temperature</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graph reading</w:t>
            </w:r>
          </w:p>
        </w:tc>
      </w:tr>
      <w:tr>
        <w:tc>
          <w:tcPr>
            <w:tcW w:type="dxa" w:w="9360"/>
            <w:gridSpan w:val="5"/>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Group 5 · Radioactivity &amp; Space</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18</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Atomic Structure &amp; Radioactivity</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Proton number; nucleon number; isotopes; alpha, beta, gamma properties; penetration; ionisation; uses of radiation</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MCQ, diagram label, keyword match, explain</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19</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Radioactive Decay &amp; Half-Life</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Decay equations; half-life definition and calculations; decay graphs; uses (medical, dating, reactors); background radiation</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Graph reading (decay curve), numeric, MCQ, calculation</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20</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Fission &amp; Fusion</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Nuclear fission; chain reaction; control rods; nuclear reactor; nuclear fusion; conditions required; E=mc²; mass defect</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Diagram label, MCQ, numeric, explain</w:t>
            </w:r>
          </w:p>
        </w:tc>
      </w:tr>
      <w:tr>
        <w:tc>
          <w:tcPr>
            <w:tcW w:type="dxa" w:w="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21</w:t>
            </w:r>
          </w:p>
        </w:tc>
        <w:tc>
          <w:tcPr>
            <w:tcW w:type="dxa" w:w="18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Space Physics</w:t>
            </w:r>
          </w:p>
        </w:tc>
        <w:tc>
          <w:tcPr>
            <w:tcW w:type="dxa" w:w="3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Solar system; stars: life cycle; Red Giant, White Dwarf, Neutron Star, Black Hole; Big Bang; redshift; CMBR</w:t>
            </w:r>
          </w:p>
        </w:tc>
        <w:tc>
          <w:tcPr>
            <w:tcW w:type="dxa" w:w="244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Process sequence, MCQ, explain, diagram label</w:t>
            </w:r>
          </w:p>
        </w:tc>
      </w:tr>
      <w:tr>
        <w:tc>
          <w:tcPr>
            <w:tcW w:type="dxa" w:w="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22</w:t>
            </w:r>
          </w:p>
        </w:tc>
        <w:tc>
          <w:tcPr>
            <w:tcW w:type="dxa" w:w="18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Gravitational Fields</w:t>
            </w:r>
          </w:p>
        </w:tc>
        <w:tc>
          <w:tcPr>
            <w:tcW w:type="dxa" w:w="3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Gravitational field strength; orbital motion; F=GMm/r²; orbital speed and radius; satellites; weight vs mass in space</w:t>
            </w:r>
          </w:p>
        </w:tc>
        <w:tc>
          <w:tcPr>
            <w:tcW w:type="dxa" w:w="244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calculation, MCQ, explain</w:t>
            </w:r>
          </w:p>
        </w:tc>
      </w:tr>
    </w:tbl>
    <w:p>
      <w:pPr>
        <w:spacing w:before="200" w:after="0"/>
      </w:pPr>
      <w:r>
        <w:t xml:space="preserve"/>
      </w:r>
    </w:p>
    <w:p>
      <w:pPr>
        <w:pBdr>
          <w:bottom w:val="single" w:color="1A5C9E" w:sz="6" w:space="4"/>
        </w:pBdr>
        <w:spacing w:before="400" w:after="160"/>
      </w:pPr>
      <w:r>
        <w:rPr>
          <w:rFonts w:ascii="Arial" w:cs="Arial" w:eastAsia="Arial" w:hAnsi="Arial"/>
          <w:b/>
          <w:bCs/>
          <w:color w:val="1A5C9E"/>
          <w:sz w:val="26"/>
          <w:szCs w:val="26"/>
        </w:rPr>
        <w:t xml:space="preserve">3. Interactive Components</w:t>
      </w:r>
    </w:p>
    <w:p>
      <w:pPr>
        <w:spacing w:before="60" w:after="60"/>
      </w:pPr>
      <w:r>
        <w:rPr>
          <w:rFonts w:ascii="Arial" w:cs="Arial" w:eastAsia="Arial" w:hAnsi="Arial"/>
          <w:color w:val="4A4A4A"/>
          <w:sz w:val="20"/>
          <w:szCs w:val="20"/>
        </w:rPr>
        <w:t xml:space="preserve">Physics is the platform's founding subject and defines the core interactive component library. All components listed here are available for reuse by Biology and Chemistry.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2000"/>
        <w:gridCol w:w="1760"/>
      </w:tblGrid>
      <w:tr>
        <w:trPr>
          <w:tblHeader/>
        </w:trPr>
        <w:tc>
          <w:tcPr>
            <w:tcW w:type="dxa" w:w="22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Component</w:t>
            </w:r>
          </w:p>
        </w:tc>
        <w:tc>
          <w:tcPr>
            <w:tcW w:type="dxa" w:w="34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Description</w:t>
            </w:r>
          </w:p>
        </w:tc>
        <w:tc>
          <w:tcPr>
            <w:tcW w:type="dxa" w:w="20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Used In</w:t>
            </w:r>
          </w:p>
        </w:tc>
        <w:tc>
          <w:tcPr>
            <w:tcW w:type="dxa" w:w="176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Status</w:t>
            </w:r>
          </w:p>
        </w:tc>
      </w:tr>
      <w:tr>
        <w:tc>
          <w:tcPr>
            <w:tcW w:type="dxa" w:w="9360"/>
            <w:gridSpan w:val="4"/>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tcPr>
          <w:p>
            <w:r>
              <w:rPr>
                <w:rFonts w:ascii="Arial" w:cs="Arial" w:eastAsia="Arial" w:hAnsi="Arial"/>
                <w:b/>
                <w:bCs/>
                <w:color w:val="1A5C9E"/>
                <w:sz w:val="20"/>
                <w:szCs w:val="20"/>
              </w:rPr>
              <w:t xml:space="preserve">Core Components — Originated in Physics</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Graph Reading (SVG)</w:t>
            </w:r>
          </w:p>
        </w:tc>
        <w:tc>
          <w:tcPr>
            <w:tcW w:type="dxa" w:w="3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Interactive SVG graph with real-time crosshair tracking. Reads values from distance-time, velocity-time, decay, I-V, and rate curves.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 T2, T7, T11, T15, T19</w:t>
            </w:r>
          </w:p>
        </w:tc>
        <w:tc>
          <w:tcPr>
            <w:tcW w:type="dxa" w:w="1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Numeric with Unit</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Numeric answer input with unit dropdown (m/s, N, J, Ω, etc.). Marking accepts values within ±1% tolerance.</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All calculation topics</w:t>
            </w:r>
          </w:p>
        </w:tc>
        <w:tc>
          <w:tcPr>
            <w:tcW w:type="dxa" w:w="1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Ray Diagram (SVG)</w:t>
            </w:r>
          </w:p>
        </w:tc>
        <w:tc>
          <w:tcPr>
            <w:tcW w:type="dxa" w:w="3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Student draws or positions rays on an SVG optical diagram. Validates angle of incidence vs reflection/refraction.</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T13</w:t>
            </w:r>
          </w:p>
        </w:tc>
        <w:tc>
          <w:tcPr>
            <w:tcW w:type="dxa" w:w="1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Sankey Diagram</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Interactive Sankey diagram where student adjusts arrow widths to match energy transfers. Validates proportional areas.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T16</w:t>
            </w:r>
          </w:p>
        </w:tc>
        <w:tc>
          <w:tcPr>
            <w:tcW w:type="dxa" w:w="1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Circuit Diagram Label</w:t>
            </w:r>
          </w:p>
        </w:tc>
        <w:tc>
          <w:tcPr>
            <w:tcW w:type="dxa" w:w="3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Drag standard IEC symbols onto a circuit skeleton. Validates symbol placement and circuit topology.</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T6, T9</w:t>
            </w:r>
          </w:p>
        </w:tc>
        <w:tc>
          <w:tcPr>
            <w:tcW w:type="dxa" w:w="1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Diagram Label</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Drop labels onto SVG apparatus diagrams, force diagrams, and nuclear decay illustrations.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T3, T9, T18, T20, T21</w:t>
            </w:r>
          </w:p>
        </w:tc>
        <w:tc>
          <w:tcPr>
            <w:tcW w:type="dxa" w:w="1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MCQ</w:t>
            </w:r>
          </w:p>
        </w:tc>
        <w:tc>
          <w:tcPr>
            <w:tcW w:type="dxa" w:w="3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Standard 4-option multiple choice. Used across all topics.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All topics</w:t>
            </w:r>
          </w:p>
        </w:tc>
        <w:tc>
          <w:tcPr>
            <w:tcW w:type="dxa" w:w="1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Process Sequence</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Drag steps into correct order. Used for decay sequences, stellar life cycles, energy transfer chains.</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T12, T21</w:t>
            </w:r>
          </w:p>
        </w:tc>
        <w:tc>
          <w:tcPr>
            <w:tcW w:type="dxa" w:w="1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Keyword Match</w:t>
            </w:r>
          </w:p>
        </w:tc>
        <w:tc>
          <w:tcPr>
            <w:tcW w:type="dxa" w:w="34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Match key terms to definitions — electromagnetic spectrum, radiation types, wave properties.</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T12, T18</w:t>
            </w:r>
          </w:p>
        </w:tc>
        <w:tc>
          <w:tcPr>
            <w:tcW w:type="dxa" w:w="17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r>
        <w:tc>
          <w:tcPr>
            <w:tcW w:type="dxa" w:w="22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Explain (Short Answer)</w:t>
            </w:r>
          </w:p>
        </w:tc>
        <w:tc>
          <w:tcPr>
            <w:tcW w:type="dxa" w:w="34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Open-ended prompted response with mark-scheme keyword checklist for self-marking.</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T3, T5, T10, T20</w:t>
            </w:r>
          </w:p>
        </w:tc>
        <w:tc>
          <w:tcPr>
            <w:tcW w:type="dxa" w:w="17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 Built</w:t>
            </w:r>
          </w:p>
        </w:tc>
      </w:tr>
    </w:tbl>
    <w:p>
      <w:pPr>
        <w:spacing w:before="200" w:after="0"/>
      </w:pPr>
      <w:r>
        <w:t xml:space="preserve"/>
      </w:r>
    </w:p>
    <w:p>
      <w:pPr>
        <w:pBdr>
          <w:bottom w:val="single" w:color="1A5C9E" w:sz="6" w:space="4"/>
        </w:pBdr>
        <w:spacing w:before="400" w:after="160"/>
      </w:pPr>
      <w:r>
        <w:rPr>
          <w:rFonts w:ascii="Arial" w:cs="Arial" w:eastAsia="Arial" w:hAnsi="Arial"/>
          <w:b/>
          <w:bCs/>
          <w:color w:val="1A5C9E"/>
          <w:sz w:val="26"/>
          <w:szCs w:val="26"/>
        </w:rPr>
        <w:t xml:space="preserve">4. Scenario Distribution</w:t>
      </w:r>
    </w:p>
    <w:p>
      <w:pPr>
        <w:spacing w:before="60" w:after="60"/>
      </w:pPr>
      <w:r>
        <w:rPr>
          <w:rFonts w:ascii="Arial" w:cs="Arial" w:eastAsia="Arial" w:hAnsi="Arial"/>
          <w:color w:val="4A4A4A"/>
          <w:sz w:val="20"/>
          <w:szCs w:val="20"/>
        </w:rPr>
        <w:t xml:space="preserve">The full specification build targets 22 scenarios (one per topic). Group 2 (Electricity) and Group 3 (Waves) carry the highest mark weighting on the 4PH1 paper and are prioritised in content quality.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000"/>
        <w:gridCol w:w="1260"/>
      </w:tblGrid>
      <w:tr>
        <w:trPr>
          <w:tblHeader/>
        </w:trPr>
        <w:tc>
          <w:tcPr>
            <w:tcW w:type="dxa" w:w="25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Curriculum Group</w:t>
            </w:r>
          </w:p>
        </w:tc>
        <w:tc>
          <w:tcPr>
            <w:tcW w:type="dxa" w:w="36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Topics</w:t>
            </w:r>
          </w:p>
        </w:tc>
        <w:tc>
          <w:tcPr>
            <w:tcW w:type="dxa" w:w="200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Scenarios</w:t>
            </w:r>
          </w:p>
        </w:tc>
        <w:tc>
          <w:tcPr>
            <w:tcW w:type="dxa" w:w="1260"/>
            <w:tcBorders>
              <w:top w:val="single" w:color="D0D0D0" w:sz="1"/>
              <w:left w:val="single" w:color="D0D0D0" w:sz="1"/>
              <w:bottom w:val="single" w:color="D0D0D0" w:sz="1"/>
              <w:right w:val="single" w:color="D0D0D0" w:sz="1"/>
            </w:tcBorders>
            <w:shd w:fill="1A5C9E" w:val="clear"/>
            <w:tcMar>
              <w:top w:type="dxa" w:w="100"/>
              <w:left w:type="dxa" w:w="120"/>
              <w:bottom w:type="dxa" w:w="100"/>
              <w:right w:type="dxa" w:w="120"/>
            </w:tcMar>
            <w:vAlign w:val="center"/>
          </w:tcPr>
          <w:p>
            <w:pPr>
              <w:jc w:val="left"/>
            </w:pPr>
            <w:r>
              <w:rPr>
                <w:rFonts w:ascii="Arial" w:cs="Arial" w:eastAsia="Arial" w:hAnsi="Arial"/>
                <w:b/>
                <w:bCs/>
                <w:color w:val="FFFFFF"/>
                <w:sz w:val="20"/>
                <w:szCs w:val="20"/>
              </w:rPr>
              <w:t xml:space="preserve">Rationale</w:t>
            </w:r>
          </w:p>
        </w:tc>
      </w:tr>
      <w:tr>
        <w:tc>
          <w:tcPr>
            <w:tcW w:type="dxa" w:w="2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Group 1 · Forces &amp; Motion</w:t>
            </w:r>
          </w:p>
        </w:tc>
        <w:tc>
          <w:tcPr>
            <w:tcW w:type="dxa" w:w="3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T1–T5</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5</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Prototype origin — highest maturity</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Group 2 · Electricity &amp; Magnetism</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T6–T10</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5</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Highest exam mark weight</w:t>
            </w:r>
          </w:p>
        </w:tc>
      </w:tr>
      <w:tr>
        <w:tc>
          <w:tcPr>
            <w:tcW w:type="dxa" w:w="2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Group 3 · Waves &amp; Light</w:t>
            </w:r>
          </w:p>
        </w:tc>
        <w:tc>
          <w:tcPr>
            <w:tcW w:type="dxa" w:w="3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T11–T14</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4</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Strong graph/diagram content</w:t>
            </w:r>
          </w:p>
        </w:tc>
      </w:tr>
      <w:tr>
        <w:tc>
          <w:tcPr>
            <w:tcW w:type="dxa" w:w="25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bCs/>
                <w:color w:val="4A4A4A"/>
                <w:sz w:val="20"/>
                <w:szCs w:val="20"/>
              </w:rPr>
              <w:t xml:space="preserve">Group 4 · Energy</w:t>
            </w:r>
          </w:p>
        </w:tc>
        <w:tc>
          <w:tcPr>
            <w:tcW w:type="dxa" w:w="36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T15–T17</w:t>
            </w:r>
          </w:p>
        </w:tc>
        <w:tc>
          <w:tcPr>
            <w:tcW w:type="dxa" w:w="200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3</w:t>
            </w:r>
          </w:p>
        </w:tc>
        <w:tc>
          <w:tcPr>
            <w:tcW w:type="dxa" w:w="1260"/>
            <w:tcBorders>
              <w:top w:val="single" w:color="D0D0D0" w:sz="1"/>
              <w:left w:val="single" w:color="D0D0D0" w:sz="1"/>
              <w:bottom w:val="single" w:color="D0D0D0" w:sz="1"/>
              <w:right w:val="single" w:color="D0D0D0" w:sz="1"/>
            </w:tcBorders>
            <w:shd w:fill="FFFFFF"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Calculation-heavy topics</w:t>
            </w:r>
          </w:p>
        </w:tc>
      </w:tr>
      <w:tr>
        <w:tc>
          <w:tcPr>
            <w:tcW w:type="dxa" w:w="25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bCs/>
                <w:color w:val="4A4A4A"/>
                <w:sz w:val="20"/>
                <w:szCs w:val="20"/>
              </w:rPr>
              <w:t xml:space="preserve">Group 5 · Radioactivity &amp; Space</w:t>
            </w:r>
          </w:p>
        </w:tc>
        <w:tc>
          <w:tcPr>
            <w:tcW w:type="dxa" w:w="36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T18–T22</w:t>
            </w:r>
          </w:p>
        </w:tc>
        <w:tc>
          <w:tcPr>
            <w:tcW w:type="dxa" w:w="200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5</w:t>
            </w:r>
          </w:p>
        </w:tc>
        <w:tc>
          <w:tcPr>
            <w:tcW w:type="dxa" w:w="1260"/>
            <w:tcBorders>
              <w:top w:val="single" w:color="D0D0D0" w:sz="1"/>
              <w:left w:val="single" w:color="D0D0D0" w:sz="1"/>
              <w:bottom w:val="single" w:color="D0D0D0" w:sz="1"/>
              <w:right w:val="single" w:color="D0D0D0" w:sz="1"/>
            </w:tcBorders>
            <w:shd w:fill="F7F7F7" w:val="clear"/>
            <w:tcMar>
              <w:top w:type="dxa" w:w="80"/>
              <w:left w:type="dxa" w:w="120"/>
              <w:bottom w:type="dxa" w:w="80"/>
              <w:right w:type="dxa" w:w="120"/>
            </w:tcMar>
            <w:vAlign w:val="center"/>
          </w:tcPr>
          <w:p>
            <w:r>
              <w:rPr>
                <w:rFonts w:ascii="Arial" w:cs="Arial" w:eastAsia="Arial" w:hAnsi="Arial"/>
                <w:b w:val="false"/>
                <w:bCs w:val="false"/>
                <w:color w:val="4A4A4A"/>
                <w:sz w:val="20"/>
                <w:szCs w:val="20"/>
              </w:rPr>
              <w:t xml:space="preserve">Distinct component types</w:t>
            </w:r>
          </w:p>
        </w:tc>
      </w:tr>
      <w:tr>
        <w:tc>
          <w:tcPr>
            <w:tcW w:type="dxa" w:w="2500"/>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vAlign w:val="center"/>
          </w:tcPr>
          <w:p>
            <w:r>
              <w:rPr>
                <w:rFonts w:ascii="Arial" w:cs="Arial" w:eastAsia="Arial" w:hAnsi="Arial"/>
                <w:b/>
                <w:bCs/>
                <w:color w:val="4A4A4A"/>
                <w:sz w:val="20"/>
                <w:szCs w:val="20"/>
              </w:rPr>
              <w:t xml:space="preserve">TOTAL</w:t>
            </w:r>
          </w:p>
        </w:tc>
        <w:tc>
          <w:tcPr>
            <w:tcW w:type="dxa" w:w="3600"/>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vAlign w:val="center"/>
          </w:tcPr>
          <w:p>
            <w:r>
              <w:rPr>
                <w:rFonts w:ascii="Arial" w:cs="Arial" w:eastAsia="Arial" w:hAnsi="Arial"/>
                <w:b/>
                <w:bCs/>
                <w:color w:val="4A4A4A"/>
                <w:sz w:val="20"/>
                <w:szCs w:val="20"/>
              </w:rPr>
              <w:t xml:space="preserve">22 topics</w:t>
            </w:r>
          </w:p>
        </w:tc>
        <w:tc>
          <w:tcPr>
            <w:tcW w:type="dxa" w:w="2000"/>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vAlign w:val="center"/>
          </w:tcPr>
          <w:p>
            <w:r>
              <w:rPr>
                <w:rFonts w:ascii="Arial" w:cs="Arial" w:eastAsia="Arial" w:hAnsi="Arial"/>
                <w:b/>
                <w:bCs/>
                <w:color w:val="4A4A4A"/>
                <w:sz w:val="20"/>
                <w:szCs w:val="20"/>
              </w:rPr>
              <w:t xml:space="preserve">22</w:t>
            </w:r>
          </w:p>
        </w:tc>
        <w:tc>
          <w:tcPr>
            <w:tcW w:type="dxa" w:w="1260"/>
            <w:tcBorders>
              <w:top w:val="single" w:color="D0D0D0" w:sz="1"/>
              <w:left w:val="single" w:color="D0D0D0" w:sz="1"/>
              <w:bottom w:val="single" w:color="D0D0D0" w:sz="1"/>
              <w:right w:val="single" w:color="D0D0D0" w:sz="1"/>
            </w:tcBorders>
            <w:shd w:fill="E3EDF8" w:val="clear"/>
            <w:tcMar>
              <w:top w:type="dxa" w:w="80"/>
              <w:left w:type="dxa" w:w="120"/>
              <w:bottom w:type="dxa" w:w="80"/>
              <w:right w:type="dxa" w:w="120"/>
            </w:tcMar>
            <w:vAlign w:val="center"/>
          </w:tcPr>
          <w:p>
            <w:r>
              <w:rPr>
                <w:rFonts w:ascii="Arial" w:cs="Arial" w:eastAsia="Arial" w:hAnsi="Arial"/>
                <w:b/>
                <w:bCs/>
                <w:color w:val="4A4A4A"/>
                <w:sz w:val="20"/>
                <w:szCs w:val="20"/>
              </w:rPr>
              <w:t xml:space="preserve">~105 questions / ~210 marks</w:t>
            </w:r>
          </w:p>
        </w:tc>
      </w:tr>
    </w:tbl>
    <w:p>
      <w:pPr>
        <w:spacing w:before="200" w:after="0"/>
      </w:pPr>
      <w:r>
        <w:t xml:space="preserve"/>
      </w:r>
    </w:p>
    <w:p>
      <w:pPr>
        <w:pBdr>
          <w:bottom w:val="single" w:color="1A5C9E" w:sz="6" w:space="4"/>
        </w:pBdr>
        <w:spacing w:before="400" w:after="160"/>
      </w:pPr>
      <w:r>
        <w:rPr>
          <w:rFonts w:ascii="Arial" w:cs="Arial" w:eastAsia="Arial" w:hAnsi="Arial"/>
          <w:b/>
          <w:bCs/>
          <w:color w:val="1A5C9E"/>
          <w:sz w:val="26"/>
          <w:szCs w:val="26"/>
        </w:rPr>
        <w:t xml:space="preserve">5. Implementation Notes</w:t>
      </w:r>
    </w:p>
    <w:p>
      <w:pPr>
        <w:spacing w:before="160" w:after="0"/>
      </w:pPr>
      <w:r>
        <w:t xml:space="preserve"/>
      </w:r>
    </w:p>
    <w:p>
      <w:pPr>
        <w:spacing w:before="200" w:after="0"/>
      </w:pPr>
      <w:r>
        <w:t xml:space="preserve"/>
      </w:r>
    </w:p>
    <w:p>
      <w:pPr>
        <w:spacing w:before="280" w:after="100"/>
      </w:pPr>
      <w:r>
        <w:rPr>
          <w:rFonts w:ascii="Arial" w:cs="Arial" w:eastAsia="Arial" w:hAnsi="Arial"/>
          <w:b/>
          <w:bCs/>
          <w:color w:val="4A4A4A"/>
          <w:sz w:val="22"/>
          <w:szCs w:val="22"/>
        </w:rPr>
        <w:t xml:space="preserve">Graph Interaction — The Core Differentiator</w:t>
      </w:r>
    </w:p>
    <w:p>
      <w:pPr>
        <w:spacing w:before="60" w:after="60"/>
      </w:pPr>
      <w:r>
        <w:rPr>
          <w:rFonts w:ascii="Arial" w:cs="Arial" w:eastAsia="Arial" w:hAnsi="Arial"/>
          <w:color w:val="4A4A4A"/>
          <w:sz w:val="20"/>
          <w:szCs w:val="20"/>
        </w:rPr>
        <w:t xml:space="preserve">The interactive SVG graph with real-time crosshair is the defining interaction of the Physics module and the feature that most clearly distinguishes the platform from static PDF revision materials. Every effort should be made to ensure it runs at 60fps on iOS Safari 15+ (the most common student device).</w:t>
      </w:r>
    </w:p>
    <w:p>
      <w:pPr>
        <w:spacing w:before="60" w:after="60"/>
      </w:pPr>
      <w:r>
        <w:rPr>
          <w:rFonts w:ascii="Arial" w:cs="Arial" w:eastAsia="Arial" w:hAnsi="Arial"/>
          <w:color w:val="4A4A4A"/>
          <w:sz w:val="20"/>
          <w:szCs w:val="20"/>
        </w:rPr>
        <w:t xml:space="preserve">For velocity-time graphs, the area-under-graph feature (shaded region with numeric readout) adds significant pedagogical value and should be preserved as a key interaction in all relevant scenarios.</w:t>
      </w:r>
    </w:p>
    <w:p>
      <w:pPr>
        <w:spacing w:before="280" w:after="100"/>
      </w:pPr>
      <w:r>
        <w:rPr>
          <w:rFonts w:ascii="Arial" w:cs="Arial" w:eastAsia="Arial" w:hAnsi="Arial"/>
          <w:b/>
          <w:bCs/>
          <w:color w:val="4A4A4A"/>
          <w:sz w:val="22"/>
          <w:szCs w:val="22"/>
        </w:rPr>
        <w:t xml:space="preserve">Equations of Motion — Formula Sheet</w:t>
      </w:r>
    </w:p>
    <w:p>
      <w:pPr>
        <w:spacing w:before="60" w:after="60"/>
      </w:pPr>
      <w:r>
        <w:rPr>
          <w:rFonts w:ascii="Arial" w:cs="Arial" w:eastAsia="Arial" w:hAnsi="Arial"/>
          <w:color w:val="4A4A4A"/>
          <w:sz w:val="20"/>
          <w:szCs w:val="20"/>
        </w:rPr>
        <w:t xml:space="preserve">Physics scenarios involving equations of motion (v=u+at, s=ut+½at², v²=u²+2as) must always display the relevant formula on screen. Students at IGCSE level are given a formula sheet in the exam — the platform should replicate this to build authentic exam habits rather than testing formula recall.</w:t>
      </w:r>
    </w:p>
    <w:p>
      <w:pPr>
        <w:spacing w:before="280" w:after="100"/>
      </w:pPr>
      <w:r>
        <w:rPr>
          <w:rFonts w:ascii="Arial" w:cs="Arial" w:eastAsia="Arial" w:hAnsi="Arial"/>
          <w:b/>
          <w:bCs/>
          <w:color w:val="4A4A4A"/>
          <w:sz w:val="22"/>
          <w:szCs w:val="22"/>
        </w:rPr>
        <w:t xml:space="preserve">Numeric Tolerance</w:t>
      </w:r>
    </w:p>
    <w:p>
      <w:pPr>
        <w:spacing w:before="60" w:after="60"/>
      </w:pPr>
      <w:r>
        <w:rPr>
          <w:rFonts w:ascii="Arial" w:cs="Arial" w:eastAsia="Arial" w:hAnsi="Arial"/>
          <w:color w:val="4A4A4A"/>
          <w:sz w:val="20"/>
          <w:szCs w:val="20"/>
        </w:rPr>
        <w:t xml:space="preserve">All numeric answers accept values within ±1% of the model answer. Where questions involve reading values from a graph, tolerance is widened to ±2% to account for the inherent imprecision of crosshair reading. Units must match exactly — partial credit is not awarded for correct magnitude with wrong unit.</w:t>
      </w:r>
    </w:p>
    <w:p>
      <w:pPr>
        <w:spacing w:before="280" w:after="100"/>
      </w:pPr>
      <w:r>
        <w:rPr>
          <w:rFonts w:ascii="Arial" w:cs="Arial" w:eastAsia="Arial" w:hAnsi="Arial"/>
          <w:b/>
          <w:bCs/>
          <w:color w:val="4A4A4A"/>
          <w:sz w:val="22"/>
          <w:szCs w:val="22"/>
        </w:rPr>
        <w:t xml:space="preserve">Platform Founding Role</w:t>
      </w:r>
    </w:p>
    <w:p>
      <w:pPr>
        <w:spacing w:before="60" w:after="60"/>
      </w:pPr>
      <w:r>
        <w:rPr>
          <w:rFonts w:ascii="Arial" w:cs="Arial" w:eastAsia="Arial" w:hAnsi="Arial"/>
          <w:color w:val="4A4A4A"/>
          <w:sz w:val="20"/>
          <w:szCs w:val="20"/>
        </w:rPr>
        <w:t xml:space="preserve">Physics is the senior subject in the platform architecture. Its component library, JSON schema, marking engine, and design tokens are the canonical reference for all other modules. Any architectural changes made during Chemistry or Biology development that affect shared components should be backported to ensure Physics scenarios continue to render correctly.</w:t>
      </w:r>
    </w:p>
    <w:p>
      <w:pPr>
        <w:spacing w:before="120" w:after="0"/>
      </w:pPr>
      <w:r>
        <w:t xml:space="preserve"/>
      </w:r>
    </w:p>
    <w:p>
      <w:pPr>
        <w:spacing w:before="200" w:after="0"/>
        <w:jc w:val="center"/>
      </w:pPr>
      <w:r>
        <w:rPr>
          <w:rFonts w:ascii="Arial" w:cs="Arial" w:eastAsia="Arial" w:hAnsi="Arial"/>
          <w:i/>
          <w:iCs/>
          <w:color w:val="AAAAAA"/>
          <w:sz w:val="18"/>
          <w:szCs w:val="18"/>
        </w:rPr>
        <w:t xml:space="preserve">End of document.</w:t>
      </w:r>
    </w:p>
    <w:sectPr>
      <w:headerReference w:type="default" r:id="rId6"/>
      <w:footerReference w:type="default" r:id="rId7"/>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jc w:val="right"/>
    </w:pPr>
    <w:r>
      <w:rPr>
        <w:rFonts w:ascii="Arial" w:cs="Arial" w:eastAsia="Arial" w:hAnsi="Arial"/>
        <w:color w:val="AAAAAA"/>
        <w:sz w:val="16"/>
        <w:szCs w:val="16"/>
      </w:rPr>
      <w:t xml:space="preserve">Confidential  ·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C9E" w:sz="6" w:space="4"/>
      </w:pBdr>
      <w:spacing w:after="0"/>
    </w:pPr>
    <w:r>
      <w:rPr>
        <w:rFonts w:ascii="Arial" w:cs="Arial" w:eastAsia="Arial" w:hAnsi="Arial"/>
        <w:color w:val="888888"/>
        <w:sz w:val="18"/>
        <w:szCs w:val="18"/>
      </w:rPr>
      <w:t xml:space="preserve">GCSE GCSE Physics Revision Platform  ·  Edexcel IGCSE Physics (4PH1)  ·  Higher Tier  ·  Version 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11111"/>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5C9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2026-02-21T08:43:03.173Z</dcterms:created>
  <dcterms:modified xsi:type="dcterms:W3CDTF">2026-02-21T08:43:03.174Z</dcterms:modified>
</cp:coreProperties>
</file>

<file path=docProps/custom.xml><?xml version="1.0" encoding="utf-8"?>
<Properties xmlns="http://schemas.openxmlformats.org/officeDocument/2006/custom-properties" xmlns:vt="http://schemas.openxmlformats.org/officeDocument/2006/docPropsVTypes"/>
</file>