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noProof/>
          <w:lang w:val="en-US"/>
        </w:rPr>
        <w:drawing>
          <wp:anchor distT="0" distB="0" distL="114300" distR="114300" simplePos="0" relativeHeight="251659264" behindDoc="0" locked="0" layoutInCell="1" allowOverlap="1" wp14:anchorId="51DAF00E" wp14:editId="57382E9D">
            <wp:simplePos x="0" y="0"/>
            <wp:positionH relativeFrom="margin">
              <wp:align>right</wp:align>
            </wp:positionH>
            <wp:positionV relativeFrom="margin">
              <wp:align>top</wp:align>
            </wp:positionV>
            <wp:extent cx="2038350" cy="1264920"/>
            <wp:effectExtent l="0" t="0" r="0" b="0"/>
            <wp:wrapSquare wrapText="bothSides"/>
            <wp:docPr id="1921997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8350" cy="1264920"/>
                    </a:xfrm>
                    <a:prstGeom prst="rect">
                      <a:avLst/>
                    </a:prstGeom>
                    <a:noFill/>
                  </pic:spPr>
                </pic:pic>
              </a:graphicData>
            </a:graphic>
            <wp14:sizeRelH relativeFrom="margin">
              <wp14:pctWidth>0</wp14:pctWidth>
            </wp14:sizeRelH>
            <wp14:sizeRelV relativeFrom="margin">
              <wp14:pctHeight>0</wp14:pctHeight>
            </wp14:sizeRelV>
          </wp:anchor>
        </w:drawing>
      </w:r>
      <w:r w:rsidRPr="00672251">
        <w:rPr>
          <w:rFonts w:ascii="Times New Roman" w:hAnsi="Times New Roman" w:cs="Times New Roman"/>
        </w:rPr>
        <w:t>Research Note on</w:t>
      </w:r>
    </w:p>
    <w:p w:rsidR="00672251" w:rsidRPr="00672251" w:rsidRDefault="00672251" w:rsidP="00672251">
      <w:pPr>
        <w:pBdr>
          <w:top w:val="thickThinSmallGap" w:sz="24" w:space="1" w:color="BFBFBF" w:themeColor="background1" w:themeShade="BF"/>
          <w:left w:val="thickThinSmallGap" w:sz="24" w:space="4" w:color="BFBFBF" w:themeColor="background1" w:themeShade="BF"/>
          <w:bottom w:val="thinThickSmallGap" w:sz="24" w:space="1" w:color="BFBFBF" w:themeColor="background1" w:themeShade="BF"/>
          <w:right w:val="thinThickSmallGap" w:sz="24" w:space="4" w:color="BFBFBF" w:themeColor="background1" w:themeShade="BF"/>
        </w:pBdr>
        <w:spacing w:line="240" w:lineRule="auto"/>
        <w:rPr>
          <w:sz w:val="28"/>
          <w:szCs w:val="28"/>
        </w:rPr>
      </w:pPr>
      <w:r w:rsidRPr="00672251">
        <w:rPr>
          <w:b/>
          <w:bCs/>
          <w:sz w:val="28"/>
          <w:szCs w:val="28"/>
        </w:rPr>
        <w:t>NCL Industries Ltd   </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Price: Rs 197</w:t>
      </w:r>
      <w:r w:rsidRPr="00672251">
        <w:rPr>
          <w:rFonts w:ascii="Times New Roman" w:hAnsi="Times New Roman" w:cs="Times New Roman"/>
        </w:rPr>
        <w:t xml:space="preserve">   </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Market Cap: Rs 895 Crores</w:t>
      </w:r>
    </w:p>
    <w:p w:rsidR="00672251" w:rsidRPr="00672251" w:rsidRDefault="00672251" w:rsidP="00672251">
      <w:pPr>
        <w:spacing w:line="276" w:lineRule="auto"/>
      </w:pPr>
      <w:r w:rsidRPr="00672251">
        <w:rPr>
          <w:b/>
          <w:bCs/>
        </w:rPr>
        <w:t>ABOUT</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 xml:space="preserve">It was incorporated in 1979 and is part of NCLIL. Its core operations include manufacturing of cement, cement particle boards, and it operates in two states one in Telangana and other in Andhra Pradesh, Ready-Mix Concrete (RMC), energy and door products. The industries boost in increase in capacity of 3.90 million tonnes annually. The Bison Panel segments have diverse range of products offering durable and </w:t>
      </w:r>
      <w:proofErr w:type="spellStart"/>
      <w:r w:rsidRPr="00672251">
        <w:rPr>
          <w:rFonts w:ascii="Times New Roman" w:hAnsi="Times New Roman" w:cs="Times New Roman"/>
        </w:rPr>
        <w:t>eco friendly</w:t>
      </w:r>
      <w:proofErr w:type="spellEnd"/>
      <w:r w:rsidRPr="00672251">
        <w:rPr>
          <w:rFonts w:ascii="Times New Roman" w:hAnsi="Times New Roman" w:cs="Times New Roman"/>
        </w:rPr>
        <w:t xml:space="preserve"> items while ensuring high quality and adaptable solution for architect. There are different types of door products that is natura series, soft touch series, signature series, fire rated door series. The company also operates two mini hydel projects, which is contributing to green power annually.</w:t>
      </w:r>
    </w:p>
    <w:p w:rsidR="00672251" w:rsidRPr="00672251" w:rsidRDefault="00672251" w:rsidP="00672251">
      <w:pPr>
        <w:spacing w:line="276" w:lineRule="auto"/>
      </w:pPr>
      <w:r w:rsidRPr="00672251">
        <w:rPr>
          <w:b/>
          <w:bCs/>
        </w:rPr>
        <w:t>KEY REVENUE</w:t>
      </w:r>
    </w:p>
    <w:p w:rsidR="00672251" w:rsidRPr="00672251" w:rsidRDefault="00672251" w:rsidP="00672251">
      <w:pPr>
        <w:pStyle w:val="ListParagraph"/>
        <w:numPr>
          <w:ilvl w:val="0"/>
          <w:numId w:val="1"/>
        </w:numPr>
        <w:spacing w:line="240" w:lineRule="auto"/>
        <w:rPr>
          <w:rFonts w:ascii="Times New Roman" w:hAnsi="Times New Roman" w:cs="Times New Roman"/>
        </w:rPr>
      </w:pPr>
      <w:r w:rsidRPr="00672251">
        <w:rPr>
          <w:rFonts w:ascii="Times New Roman" w:hAnsi="Times New Roman" w:cs="Times New Roman"/>
        </w:rPr>
        <w:t>Cement segment - The total revenue for FY2023-24 was 2,31,281 lakhs and cement segment contributed around 191,706 lakhs which contributed around 82.89% of total revenue. It is the revenue generating segment of the company.</w:t>
      </w:r>
    </w:p>
    <w:p w:rsidR="00672251" w:rsidRPr="00672251" w:rsidRDefault="00672251" w:rsidP="00672251">
      <w:pPr>
        <w:pStyle w:val="ListParagraph"/>
        <w:numPr>
          <w:ilvl w:val="0"/>
          <w:numId w:val="1"/>
        </w:numPr>
        <w:spacing w:line="276" w:lineRule="auto"/>
        <w:rPr>
          <w:rFonts w:ascii="Times New Roman" w:hAnsi="Times New Roman" w:cs="Times New Roman"/>
        </w:rPr>
      </w:pPr>
      <w:r w:rsidRPr="00672251">
        <w:rPr>
          <w:rFonts w:ascii="Times New Roman" w:hAnsi="Times New Roman" w:cs="Times New Roman"/>
        </w:rPr>
        <w:t xml:space="preserve"> Cement particle board segment revenue was 20,471.16 lakhs which contributed around 8.85% of total revenue. Mostly used by architects, interior designs and have a constant growth.</w:t>
      </w:r>
    </w:p>
    <w:p w:rsidR="00672251" w:rsidRPr="00672251" w:rsidRDefault="00672251" w:rsidP="00672251">
      <w:pPr>
        <w:pStyle w:val="ListParagraph"/>
        <w:numPr>
          <w:ilvl w:val="0"/>
          <w:numId w:val="1"/>
        </w:numPr>
        <w:spacing w:line="276" w:lineRule="auto"/>
        <w:rPr>
          <w:rFonts w:ascii="Times New Roman" w:hAnsi="Times New Roman" w:cs="Times New Roman"/>
        </w:rPr>
      </w:pPr>
      <w:r w:rsidRPr="00672251">
        <w:rPr>
          <w:rFonts w:ascii="Times New Roman" w:hAnsi="Times New Roman" w:cs="Times New Roman"/>
        </w:rPr>
        <w:t>Ready mix concrete (RMC) segment revenue was 14,689.67 lakhs which contributed 6.35% of total revenue. It mainly supplies manufacturing units, infrastructure etc.</w:t>
      </w:r>
    </w:p>
    <w:p w:rsidR="00672251" w:rsidRPr="00672251" w:rsidRDefault="00672251" w:rsidP="00672251">
      <w:pPr>
        <w:pStyle w:val="ListParagraph"/>
        <w:numPr>
          <w:ilvl w:val="0"/>
          <w:numId w:val="1"/>
        </w:numPr>
        <w:spacing w:line="276" w:lineRule="auto"/>
        <w:rPr>
          <w:rFonts w:ascii="Times New Roman" w:hAnsi="Times New Roman" w:cs="Times New Roman"/>
        </w:rPr>
      </w:pPr>
      <w:r w:rsidRPr="00672251">
        <w:rPr>
          <w:rFonts w:ascii="Times New Roman" w:hAnsi="Times New Roman" w:cs="Times New Roman"/>
        </w:rPr>
        <w:t xml:space="preserve"> Door Division segment revenue was 4260.32 lakhs which contributed 1.84%. It showed not good performance to the overall company firm but is one of the growing segments.</w:t>
      </w:r>
    </w:p>
    <w:p w:rsidR="00672251" w:rsidRPr="00672251" w:rsidRDefault="00672251" w:rsidP="00672251">
      <w:pPr>
        <w:pStyle w:val="ListParagraph"/>
        <w:numPr>
          <w:ilvl w:val="0"/>
          <w:numId w:val="1"/>
        </w:numPr>
        <w:spacing w:line="276" w:lineRule="auto"/>
      </w:pPr>
      <w:r w:rsidRPr="00672251">
        <w:rPr>
          <w:rFonts w:ascii="Times New Roman" w:hAnsi="Times New Roman" w:cs="Times New Roman"/>
        </w:rPr>
        <w:t xml:space="preserve"> Energy Segment revenue was153.51 which contributed less than 1 percent which shows it is not a sector and can be called not a major segment</w:t>
      </w:r>
      <w:r w:rsidRPr="00672251">
        <w:t>.</w:t>
      </w:r>
    </w:p>
    <w:p w:rsidR="00672251" w:rsidRPr="00672251" w:rsidRDefault="00672251" w:rsidP="00672251">
      <w:pPr>
        <w:spacing w:line="276" w:lineRule="auto"/>
      </w:pPr>
      <w:r w:rsidRPr="00672251">
        <w:rPr>
          <w:b/>
          <w:bCs/>
        </w:rPr>
        <w:t>MARGIN DRIVERS</w:t>
      </w:r>
    </w:p>
    <w:p w:rsidR="00672251" w:rsidRPr="00672251" w:rsidRDefault="00672251" w:rsidP="00672251">
      <w:pPr>
        <w:pStyle w:val="ListParagraph"/>
        <w:numPr>
          <w:ilvl w:val="0"/>
          <w:numId w:val="3"/>
        </w:numPr>
        <w:spacing w:line="276" w:lineRule="auto"/>
        <w:rPr>
          <w:rFonts w:ascii="Times New Roman" w:hAnsi="Times New Roman" w:cs="Times New Roman"/>
        </w:rPr>
      </w:pPr>
      <w:r w:rsidRPr="00672251">
        <w:rPr>
          <w:rFonts w:ascii="Times New Roman" w:hAnsi="Times New Roman" w:cs="Times New Roman"/>
        </w:rPr>
        <w:t>The Transport cost and fuel cost example that company has spread the fixed costs in other cost (Variable) to increase operating stability which can help in increase production (decreased in 2025)</w:t>
      </w:r>
    </w:p>
    <w:p w:rsidR="00672251" w:rsidRPr="00672251" w:rsidRDefault="00672251" w:rsidP="00672251">
      <w:pPr>
        <w:pStyle w:val="ListParagraph"/>
        <w:numPr>
          <w:ilvl w:val="0"/>
          <w:numId w:val="3"/>
        </w:numPr>
        <w:spacing w:line="276" w:lineRule="auto"/>
        <w:rPr>
          <w:rFonts w:ascii="Times New Roman" w:hAnsi="Times New Roman" w:cs="Times New Roman"/>
        </w:rPr>
      </w:pPr>
      <w:r w:rsidRPr="00672251">
        <w:rPr>
          <w:rFonts w:ascii="Times New Roman" w:hAnsi="Times New Roman" w:cs="Times New Roman"/>
        </w:rPr>
        <w:t>The company saw other income which states that the company is also making profit from other sources that is non- operating activities.</w:t>
      </w:r>
    </w:p>
    <w:p w:rsidR="00672251" w:rsidRPr="00672251" w:rsidRDefault="00672251" w:rsidP="00672251">
      <w:pPr>
        <w:pStyle w:val="ListParagraph"/>
        <w:numPr>
          <w:ilvl w:val="0"/>
          <w:numId w:val="3"/>
        </w:numPr>
        <w:spacing w:line="276" w:lineRule="auto"/>
        <w:rPr>
          <w:rFonts w:ascii="Times New Roman" w:hAnsi="Times New Roman" w:cs="Times New Roman"/>
        </w:rPr>
      </w:pPr>
      <w:r w:rsidRPr="00672251">
        <w:rPr>
          <w:rFonts w:ascii="Times New Roman" w:hAnsi="Times New Roman" w:cs="Times New Roman"/>
        </w:rPr>
        <w:t xml:space="preserve"> The installation has also positively affected the business because it has implemented ESG goals by focusing on green energy by installation of hydel powers and also decreased dependence on external suppliers for power.</w:t>
      </w:r>
    </w:p>
    <w:p w:rsidR="00672251" w:rsidRPr="00672251" w:rsidRDefault="00672251" w:rsidP="00672251">
      <w:pPr>
        <w:pStyle w:val="ListParagraph"/>
        <w:numPr>
          <w:ilvl w:val="0"/>
          <w:numId w:val="3"/>
        </w:numPr>
        <w:spacing w:line="276" w:lineRule="auto"/>
        <w:rPr>
          <w:rFonts w:ascii="Times New Roman" w:hAnsi="Times New Roman" w:cs="Times New Roman"/>
        </w:rPr>
      </w:pPr>
      <w:r w:rsidRPr="00672251">
        <w:rPr>
          <w:rFonts w:ascii="Times New Roman" w:hAnsi="Times New Roman" w:cs="Times New Roman"/>
        </w:rPr>
        <w:lastRenderedPageBreak/>
        <w:t>Different segments can give diversification benefits and even can reduce volatility in stress situations (as even it is cyclical but can somewhat reduce volatility as the cement sector is more cyclical than others).</w:t>
      </w:r>
    </w:p>
    <w:p w:rsidR="00672251" w:rsidRPr="00672251" w:rsidRDefault="00672251" w:rsidP="00672251">
      <w:pPr>
        <w:pStyle w:val="ListParagraph"/>
        <w:numPr>
          <w:ilvl w:val="0"/>
          <w:numId w:val="3"/>
        </w:numPr>
        <w:spacing w:line="276" w:lineRule="auto"/>
        <w:rPr>
          <w:rFonts w:ascii="Times New Roman" w:hAnsi="Times New Roman" w:cs="Times New Roman"/>
        </w:rPr>
      </w:pPr>
      <w:r w:rsidRPr="00672251">
        <w:rPr>
          <w:rFonts w:ascii="Times New Roman" w:hAnsi="Times New Roman" w:cs="Times New Roman"/>
        </w:rPr>
        <w:t>Owning mines, power gives logistic support decreases cost as transportation costs are decreased.</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 </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The thing that excites me the most about it is that it is also focusing on ESG which is one of the most Important areas in which every company should focus on. The vertical integration is by owning own resources with dependence from other companies. Even the dividend payouts are with a constant that is of 28.31% which shows high earning capabilities. The company even has different segments which increases profit. As revenue is generated from the cement sector and there are steady demands for houses, manufacturing units, buildings for which cement is required and even large barriers to entry as not every company can enter in this field there are various regulations.</w:t>
      </w:r>
    </w:p>
    <w:p w:rsidR="00672251" w:rsidRPr="00672251" w:rsidRDefault="00672251" w:rsidP="00672251">
      <w:pPr>
        <w:spacing w:line="276" w:lineRule="auto"/>
        <w:rPr>
          <w:rFonts w:ascii="Times New Roman" w:hAnsi="Times New Roman" w:cs="Times New Roman"/>
        </w:rPr>
      </w:pPr>
      <w:r w:rsidRPr="00672251">
        <w:rPr>
          <w:rFonts w:ascii="Times New Roman" w:hAnsi="Times New Roman" w:cs="Times New Roman"/>
        </w:rPr>
        <w:t>Here one question will come in mind that why I chose nil cements instead of Abuja or other top companies-</w:t>
      </w:r>
    </w:p>
    <w:p w:rsidR="00672251" w:rsidRPr="00672251" w:rsidRDefault="00672251" w:rsidP="00672251">
      <w:pPr>
        <w:pStyle w:val="ListParagraph"/>
        <w:numPr>
          <w:ilvl w:val="0"/>
          <w:numId w:val="6"/>
        </w:numPr>
        <w:spacing w:line="276" w:lineRule="auto"/>
        <w:rPr>
          <w:rFonts w:ascii="Times New Roman" w:hAnsi="Times New Roman" w:cs="Times New Roman"/>
        </w:rPr>
      </w:pPr>
      <w:r w:rsidRPr="00672251">
        <w:rPr>
          <w:rFonts w:ascii="Times New Roman" w:hAnsi="Times New Roman" w:cs="Times New Roman"/>
        </w:rPr>
        <w:t>Even Ambuja cements is already a mature company and comes under top 5 cements but NCL has a high growth potential and even can surpass Ambuja as NCL mainly focuses on different geographical locations by focusing in the highest used location it can increase its operations.</w:t>
      </w:r>
    </w:p>
    <w:p w:rsidR="00672251" w:rsidRPr="00672251" w:rsidRDefault="00672251" w:rsidP="00672251">
      <w:pPr>
        <w:pStyle w:val="ListParagraph"/>
        <w:numPr>
          <w:ilvl w:val="0"/>
          <w:numId w:val="6"/>
        </w:numPr>
        <w:spacing w:line="276" w:lineRule="auto"/>
        <w:rPr>
          <w:rFonts w:ascii="Times New Roman" w:hAnsi="Times New Roman" w:cs="Times New Roman"/>
        </w:rPr>
      </w:pPr>
      <w:r w:rsidRPr="00672251">
        <w:rPr>
          <w:rFonts w:ascii="Times New Roman" w:hAnsi="Times New Roman" w:cs="Times New Roman"/>
        </w:rPr>
        <w:t>Due to small scale, it can increase margins and lower valuation is due to small companies as compared to Ambuja and if it increases its production cost in an efficient manner then it can grow.</w:t>
      </w:r>
    </w:p>
    <w:p w:rsidR="00672251" w:rsidRPr="00672251" w:rsidRDefault="00672251" w:rsidP="00672251">
      <w:pPr>
        <w:spacing w:line="276" w:lineRule="auto"/>
      </w:pPr>
      <w:r w:rsidRPr="00672251">
        <w:rPr>
          <w:b/>
          <w:bCs/>
        </w:rPr>
        <w:t> KEY RISKS</w:t>
      </w:r>
    </w:p>
    <w:p w:rsidR="00672251" w:rsidRPr="00672251" w:rsidRDefault="00672251" w:rsidP="00672251">
      <w:pPr>
        <w:pStyle w:val="ListParagraph"/>
        <w:numPr>
          <w:ilvl w:val="0"/>
          <w:numId w:val="7"/>
        </w:numPr>
        <w:spacing w:line="276" w:lineRule="auto"/>
        <w:rPr>
          <w:rFonts w:ascii="Times New Roman" w:hAnsi="Times New Roman" w:cs="Times New Roman"/>
        </w:rPr>
      </w:pPr>
      <w:r w:rsidRPr="00672251">
        <w:rPr>
          <w:rFonts w:ascii="Times New Roman" w:hAnsi="Times New Roman" w:cs="Times New Roman"/>
        </w:rPr>
        <w:t>Has low and constant return on equity which is 6.86% over the past three years.</w:t>
      </w:r>
    </w:p>
    <w:p w:rsidR="00672251" w:rsidRPr="00672251" w:rsidRDefault="00672251" w:rsidP="00672251">
      <w:pPr>
        <w:pStyle w:val="ListParagraph"/>
        <w:numPr>
          <w:ilvl w:val="0"/>
          <w:numId w:val="7"/>
        </w:numPr>
        <w:spacing w:line="276" w:lineRule="auto"/>
        <w:rPr>
          <w:rFonts w:ascii="Times New Roman" w:hAnsi="Times New Roman" w:cs="Times New Roman"/>
        </w:rPr>
      </w:pPr>
      <w:r w:rsidRPr="00672251">
        <w:rPr>
          <w:rFonts w:ascii="Times New Roman" w:hAnsi="Times New Roman" w:cs="Times New Roman"/>
        </w:rPr>
        <w:t>Decrease in promoters holding is a sign that the company’s director and others are slowly leaving the company by passing the shareholding to the general public which is a red flag sign.</w:t>
      </w:r>
    </w:p>
    <w:p w:rsidR="00672251" w:rsidRPr="00672251" w:rsidRDefault="00672251" w:rsidP="00672251">
      <w:pPr>
        <w:pStyle w:val="ListParagraph"/>
        <w:numPr>
          <w:ilvl w:val="0"/>
          <w:numId w:val="7"/>
        </w:numPr>
        <w:spacing w:line="276" w:lineRule="auto"/>
        <w:rPr>
          <w:rFonts w:ascii="Times New Roman" w:hAnsi="Times New Roman" w:cs="Times New Roman"/>
        </w:rPr>
      </w:pPr>
      <w:r w:rsidRPr="00672251">
        <w:rPr>
          <w:rFonts w:ascii="Times New Roman" w:hAnsi="Times New Roman" w:cs="Times New Roman"/>
        </w:rPr>
        <w:t>As the sector is highly cyclical it can have constraints in utilization.</w:t>
      </w:r>
    </w:p>
    <w:p w:rsidR="00672251" w:rsidRPr="00672251" w:rsidRDefault="00672251" w:rsidP="00672251">
      <w:pPr>
        <w:pStyle w:val="ListParagraph"/>
        <w:numPr>
          <w:ilvl w:val="0"/>
          <w:numId w:val="7"/>
        </w:numPr>
        <w:spacing w:line="276" w:lineRule="auto"/>
        <w:rPr>
          <w:rFonts w:ascii="Times New Roman" w:hAnsi="Times New Roman" w:cs="Times New Roman"/>
        </w:rPr>
      </w:pPr>
      <w:r w:rsidRPr="00672251">
        <w:rPr>
          <w:rFonts w:ascii="Times New Roman" w:hAnsi="Times New Roman" w:cs="Times New Roman"/>
        </w:rPr>
        <w:t>It has high credit, market and liquidity risk.</w:t>
      </w:r>
    </w:p>
    <w:p w:rsidR="00672251" w:rsidRPr="00672251" w:rsidRDefault="00672251" w:rsidP="00672251">
      <w:pPr>
        <w:pStyle w:val="ListParagraph"/>
        <w:numPr>
          <w:ilvl w:val="0"/>
          <w:numId w:val="7"/>
        </w:numPr>
        <w:spacing w:line="276" w:lineRule="auto"/>
        <w:rPr>
          <w:rFonts w:ascii="Times New Roman" w:hAnsi="Times New Roman" w:cs="Times New Roman"/>
        </w:rPr>
      </w:pPr>
      <w:r w:rsidRPr="00672251">
        <w:rPr>
          <w:rFonts w:ascii="Times New Roman" w:hAnsi="Times New Roman" w:cs="Times New Roman"/>
        </w:rPr>
        <w:t>The company is dependent on macroeconomics factors such as credit cycle, interest rates, and even business cycle.</w:t>
      </w:r>
    </w:p>
    <w:p w:rsidR="00672251" w:rsidRPr="00672251" w:rsidRDefault="00672251" w:rsidP="00672251">
      <w:pPr>
        <w:spacing w:line="276" w:lineRule="auto"/>
      </w:pPr>
      <w:r w:rsidRPr="00672251">
        <w:t>Yes, NCL can be long term compounder for various reasons</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Dominant position in Telangana and Andhra Pradesh which make them leaders in these places.</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Increase in Operating leverage that is EPS is growing more than that of sales volume.</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It is considered as a value stock with lower valuations ratio which has growth potential.</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lastRenderedPageBreak/>
        <w:t>There is less Balance sheet strength, retaining surplus earnings which can be used for reinvestment.</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There is cash inflow which helps companies to fund long term requirements, repay debt, and pay more dividends.</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Decrease in risk due to vertical integration.</w:t>
      </w:r>
    </w:p>
    <w:p w:rsidR="00672251" w:rsidRPr="00672251" w:rsidRDefault="00672251" w:rsidP="00672251">
      <w:pPr>
        <w:pStyle w:val="ListParagraph"/>
        <w:numPr>
          <w:ilvl w:val="0"/>
          <w:numId w:val="8"/>
        </w:numPr>
        <w:spacing w:line="276" w:lineRule="auto"/>
        <w:rPr>
          <w:rFonts w:ascii="Times New Roman" w:hAnsi="Times New Roman" w:cs="Times New Roman"/>
        </w:rPr>
      </w:pPr>
      <w:r w:rsidRPr="00672251">
        <w:rPr>
          <w:rFonts w:ascii="Times New Roman" w:hAnsi="Times New Roman" w:cs="Times New Roman"/>
        </w:rPr>
        <w:t>Sustainable growth due to cost reduction.</w:t>
      </w:r>
    </w:p>
    <w:p w:rsidR="00672251" w:rsidRPr="00672251" w:rsidRDefault="00672251" w:rsidP="00672251">
      <w:pPr>
        <w:spacing w:line="276" w:lineRule="auto"/>
      </w:pPr>
      <w:r w:rsidRPr="00672251">
        <w:br/>
      </w:r>
      <w:r w:rsidRPr="00672251">
        <w:br/>
      </w:r>
      <w:r w:rsidRPr="00672251">
        <w:br/>
      </w:r>
    </w:p>
    <w:p w:rsidR="00672251" w:rsidRPr="00672251" w:rsidRDefault="00672251" w:rsidP="00672251">
      <w:r w:rsidRPr="00672251">
        <w:t> </w:t>
      </w:r>
    </w:p>
    <w:p w:rsidR="00672251" w:rsidRDefault="00672251"/>
    <w:sectPr w:rsidR="00672251" w:rsidSect="00672251">
      <w:pgSz w:w="11906" w:h="16838"/>
      <w:pgMar w:top="1440" w:right="1440" w:bottom="1440" w:left="1440" w:header="708" w:footer="708" w:gutter="0"/>
      <w:pgBorders w:offsetFrom="page">
        <w:top w:val="thinThickSmallGap" w:sz="24" w:space="24" w:color="D9D9D9" w:themeColor="background1" w:themeShade="D9"/>
        <w:left w:val="thinThickSmallGap" w:sz="24" w:space="24" w:color="D9D9D9" w:themeColor="background1" w:themeShade="D9"/>
        <w:bottom w:val="thickThinSmallGap" w:sz="24" w:space="24" w:color="D9D9D9" w:themeColor="background1" w:themeShade="D9"/>
        <w:right w:val="thinThickSmallGap" w:sz="24" w:space="24" w:color="D9D9D9" w:themeColor="background1" w:themeShade="D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D07"/>
    <w:multiLevelType w:val="hybridMultilevel"/>
    <w:tmpl w:val="22543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43934"/>
    <w:multiLevelType w:val="hybridMultilevel"/>
    <w:tmpl w:val="715AF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F223D"/>
    <w:multiLevelType w:val="hybridMultilevel"/>
    <w:tmpl w:val="4CEED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F2B97"/>
    <w:multiLevelType w:val="hybridMultilevel"/>
    <w:tmpl w:val="D5E08862"/>
    <w:lvl w:ilvl="0" w:tplc="40090001">
      <w:start w:val="1"/>
      <w:numFmt w:val="bullet"/>
      <w:lvlText w:val=""/>
      <w:lvlJc w:val="left"/>
      <w:pPr>
        <w:ind w:left="919" w:hanging="360"/>
      </w:pPr>
      <w:rPr>
        <w:rFonts w:ascii="Symbol" w:hAnsi="Symbol" w:hint="default"/>
      </w:rPr>
    </w:lvl>
    <w:lvl w:ilvl="1" w:tplc="9E887860">
      <w:numFmt w:val="bullet"/>
      <w:lvlText w:val="·"/>
      <w:lvlJc w:val="left"/>
      <w:pPr>
        <w:ind w:left="1639" w:hanging="360"/>
      </w:pPr>
      <w:rPr>
        <w:rFonts w:ascii="Aptos" w:eastAsiaTheme="minorHAnsi" w:hAnsi="Aptos" w:cstheme="minorBidi" w:hint="default"/>
      </w:rPr>
    </w:lvl>
    <w:lvl w:ilvl="2" w:tplc="40090005" w:tentative="1">
      <w:start w:val="1"/>
      <w:numFmt w:val="bullet"/>
      <w:lvlText w:val=""/>
      <w:lvlJc w:val="left"/>
      <w:pPr>
        <w:ind w:left="2359" w:hanging="360"/>
      </w:pPr>
      <w:rPr>
        <w:rFonts w:ascii="Wingdings" w:hAnsi="Wingdings" w:hint="default"/>
      </w:rPr>
    </w:lvl>
    <w:lvl w:ilvl="3" w:tplc="40090001" w:tentative="1">
      <w:start w:val="1"/>
      <w:numFmt w:val="bullet"/>
      <w:lvlText w:val=""/>
      <w:lvlJc w:val="left"/>
      <w:pPr>
        <w:ind w:left="3079" w:hanging="360"/>
      </w:pPr>
      <w:rPr>
        <w:rFonts w:ascii="Symbol" w:hAnsi="Symbol" w:hint="default"/>
      </w:rPr>
    </w:lvl>
    <w:lvl w:ilvl="4" w:tplc="40090003" w:tentative="1">
      <w:start w:val="1"/>
      <w:numFmt w:val="bullet"/>
      <w:lvlText w:val="o"/>
      <w:lvlJc w:val="left"/>
      <w:pPr>
        <w:ind w:left="3799" w:hanging="360"/>
      </w:pPr>
      <w:rPr>
        <w:rFonts w:ascii="Courier New" w:hAnsi="Courier New" w:cs="Courier New" w:hint="default"/>
      </w:rPr>
    </w:lvl>
    <w:lvl w:ilvl="5" w:tplc="40090005" w:tentative="1">
      <w:start w:val="1"/>
      <w:numFmt w:val="bullet"/>
      <w:lvlText w:val=""/>
      <w:lvlJc w:val="left"/>
      <w:pPr>
        <w:ind w:left="4519" w:hanging="360"/>
      </w:pPr>
      <w:rPr>
        <w:rFonts w:ascii="Wingdings" w:hAnsi="Wingdings" w:hint="default"/>
      </w:rPr>
    </w:lvl>
    <w:lvl w:ilvl="6" w:tplc="40090001" w:tentative="1">
      <w:start w:val="1"/>
      <w:numFmt w:val="bullet"/>
      <w:lvlText w:val=""/>
      <w:lvlJc w:val="left"/>
      <w:pPr>
        <w:ind w:left="5239" w:hanging="360"/>
      </w:pPr>
      <w:rPr>
        <w:rFonts w:ascii="Symbol" w:hAnsi="Symbol" w:hint="default"/>
      </w:rPr>
    </w:lvl>
    <w:lvl w:ilvl="7" w:tplc="40090003" w:tentative="1">
      <w:start w:val="1"/>
      <w:numFmt w:val="bullet"/>
      <w:lvlText w:val="o"/>
      <w:lvlJc w:val="left"/>
      <w:pPr>
        <w:ind w:left="5959" w:hanging="360"/>
      </w:pPr>
      <w:rPr>
        <w:rFonts w:ascii="Courier New" w:hAnsi="Courier New" w:cs="Courier New" w:hint="default"/>
      </w:rPr>
    </w:lvl>
    <w:lvl w:ilvl="8" w:tplc="40090005" w:tentative="1">
      <w:start w:val="1"/>
      <w:numFmt w:val="bullet"/>
      <w:lvlText w:val=""/>
      <w:lvlJc w:val="left"/>
      <w:pPr>
        <w:ind w:left="6679" w:hanging="360"/>
      </w:pPr>
      <w:rPr>
        <w:rFonts w:ascii="Wingdings" w:hAnsi="Wingdings" w:hint="default"/>
      </w:rPr>
    </w:lvl>
  </w:abstractNum>
  <w:abstractNum w:abstractNumId="4" w15:restartNumberingAfterBreak="0">
    <w:nsid w:val="1E4742D3"/>
    <w:multiLevelType w:val="hybridMultilevel"/>
    <w:tmpl w:val="B8C28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1E0C"/>
    <w:multiLevelType w:val="hybridMultilevel"/>
    <w:tmpl w:val="DAD6D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5129FB"/>
    <w:multiLevelType w:val="hybridMultilevel"/>
    <w:tmpl w:val="5C2804F2"/>
    <w:lvl w:ilvl="0" w:tplc="40090001">
      <w:start w:val="1"/>
      <w:numFmt w:val="bullet"/>
      <w:lvlText w:val=""/>
      <w:lvlJc w:val="left"/>
      <w:pPr>
        <w:ind w:left="1999" w:hanging="360"/>
      </w:pPr>
      <w:rPr>
        <w:rFonts w:ascii="Symbol" w:hAnsi="Symbol" w:hint="default"/>
      </w:rPr>
    </w:lvl>
    <w:lvl w:ilvl="1" w:tplc="40090003" w:tentative="1">
      <w:start w:val="1"/>
      <w:numFmt w:val="bullet"/>
      <w:lvlText w:val="o"/>
      <w:lvlJc w:val="left"/>
      <w:pPr>
        <w:ind w:left="2719" w:hanging="360"/>
      </w:pPr>
      <w:rPr>
        <w:rFonts w:ascii="Courier New" w:hAnsi="Courier New" w:cs="Courier New" w:hint="default"/>
      </w:rPr>
    </w:lvl>
    <w:lvl w:ilvl="2" w:tplc="40090005" w:tentative="1">
      <w:start w:val="1"/>
      <w:numFmt w:val="bullet"/>
      <w:lvlText w:val=""/>
      <w:lvlJc w:val="left"/>
      <w:pPr>
        <w:ind w:left="3439" w:hanging="360"/>
      </w:pPr>
      <w:rPr>
        <w:rFonts w:ascii="Wingdings" w:hAnsi="Wingdings" w:hint="default"/>
      </w:rPr>
    </w:lvl>
    <w:lvl w:ilvl="3" w:tplc="40090001" w:tentative="1">
      <w:start w:val="1"/>
      <w:numFmt w:val="bullet"/>
      <w:lvlText w:val=""/>
      <w:lvlJc w:val="left"/>
      <w:pPr>
        <w:ind w:left="4159" w:hanging="360"/>
      </w:pPr>
      <w:rPr>
        <w:rFonts w:ascii="Symbol" w:hAnsi="Symbol" w:hint="default"/>
      </w:rPr>
    </w:lvl>
    <w:lvl w:ilvl="4" w:tplc="40090003" w:tentative="1">
      <w:start w:val="1"/>
      <w:numFmt w:val="bullet"/>
      <w:lvlText w:val="o"/>
      <w:lvlJc w:val="left"/>
      <w:pPr>
        <w:ind w:left="4879" w:hanging="360"/>
      </w:pPr>
      <w:rPr>
        <w:rFonts w:ascii="Courier New" w:hAnsi="Courier New" w:cs="Courier New" w:hint="default"/>
      </w:rPr>
    </w:lvl>
    <w:lvl w:ilvl="5" w:tplc="40090005" w:tentative="1">
      <w:start w:val="1"/>
      <w:numFmt w:val="bullet"/>
      <w:lvlText w:val=""/>
      <w:lvlJc w:val="left"/>
      <w:pPr>
        <w:ind w:left="5599" w:hanging="360"/>
      </w:pPr>
      <w:rPr>
        <w:rFonts w:ascii="Wingdings" w:hAnsi="Wingdings" w:hint="default"/>
      </w:rPr>
    </w:lvl>
    <w:lvl w:ilvl="6" w:tplc="40090001" w:tentative="1">
      <w:start w:val="1"/>
      <w:numFmt w:val="bullet"/>
      <w:lvlText w:val=""/>
      <w:lvlJc w:val="left"/>
      <w:pPr>
        <w:ind w:left="6319" w:hanging="360"/>
      </w:pPr>
      <w:rPr>
        <w:rFonts w:ascii="Symbol" w:hAnsi="Symbol" w:hint="default"/>
      </w:rPr>
    </w:lvl>
    <w:lvl w:ilvl="7" w:tplc="40090003" w:tentative="1">
      <w:start w:val="1"/>
      <w:numFmt w:val="bullet"/>
      <w:lvlText w:val="o"/>
      <w:lvlJc w:val="left"/>
      <w:pPr>
        <w:ind w:left="7039" w:hanging="360"/>
      </w:pPr>
      <w:rPr>
        <w:rFonts w:ascii="Courier New" w:hAnsi="Courier New" w:cs="Courier New" w:hint="default"/>
      </w:rPr>
    </w:lvl>
    <w:lvl w:ilvl="8" w:tplc="40090005" w:tentative="1">
      <w:start w:val="1"/>
      <w:numFmt w:val="bullet"/>
      <w:lvlText w:val=""/>
      <w:lvlJc w:val="left"/>
      <w:pPr>
        <w:ind w:left="7759" w:hanging="360"/>
      </w:pPr>
      <w:rPr>
        <w:rFonts w:ascii="Wingdings" w:hAnsi="Wingdings" w:hint="default"/>
      </w:rPr>
    </w:lvl>
  </w:abstractNum>
  <w:abstractNum w:abstractNumId="7" w15:restartNumberingAfterBreak="0">
    <w:nsid w:val="3EA16F2E"/>
    <w:multiLevelType w:val="hybridMultilevel"/>
    <w:tmpl w:val="3076A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5899750">
    <w:abstractNumId w:val="3"/>
  </w:num>
  <w:num w:numId="2" w16cid:durableId="1585341006">
    <w:abstractNumId w:val="2"/>
  </w:num>
  <w:num w:numId="3" w16cid:durableId="20667175">
    <w:abstractNumId w:val="0"/>
  </w:num>
  <w:num w:numId="4" w16cid:durableId="387150502">
    <w:abstractNumId w:val="4"/>
  </w:num>
  <w:num w:numId="5" w16cid:durableId="2009821712">
    <w:abstractNumId w:val="6"/>
  </w:num>
  <w:num w:numId="6" w16cid:durableId="1308627693">
    <w:abstractNumId w:val="7"/>
  </w:num>
  <w:num w:numId="7" w16cid:durableId="1463385343">
    <w:abstractNumId w:val="1"/>
  </w:num>
  <w:num w:numId="8" w16cid:durableId="1147934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51"/>
    <w:rsid w:val="00672251"/>
    <w:rsid w:val="00F72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9961"/>
  <w15:chartTrackingRefBased/>
  <w15:docId w15:val="{8F9DA7F3-51FA-4217-BB46-8F49BB732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51"/>
    <w:rPr>
      <w:rFonts w:eastAsiaTheme="majorEastAsia" w:cstheme="majorBidi"/>
      <w:color w:val="272727" w:themeColor="text1" w:themeTint="D8"/>
    </w:rPr>
  </w:style>
  <w:style w:type="paragraph" w:styleId="Title">
    <w:name w:val="Title"/>
    <w:basedOn w:val="Normal"/>
    <w:next w:val="Normal"/>
    <w:link w:val="TitleChar"/>
    <w:uiPriority w:val="10"/>
    <w:qFormat/>
    <w:rsid w:val="0067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51"/>
    <w:pPr>
      <w:spacing w:before="160"/>
      <w:jc w:val="center"/>
    </w:pPr>
    <w:rPr>
      <w:i/>
      <w:iCs/>
      <w:color w:val="404040" w:themeColor="text1" w:themeTint="BF"/>
    </w:rPr>
  </w:style>
  <w:style w:type="character" w:customStyle="1" w:styleId="QuoteChar">
    <w:name w:val="Quote Char"/>
    <w:basedOn w:val="DefaultParagraphFont"/>
    <w:link w:val="Quote"/>
    <w:uiPriority w:val="29"/>
    <w:rsid w:val="00672251"/>
    <w:rPr>
      <w:i/>
      <w:iCs/>
      <w:color w:val="404040" w:themeColor="text1" w:themeTint="BF"/>
    </w:rPr>
  </w:style>
  <w:style w:type="paragraph" w:styleId="ListParagraph">
    <w:name w:val="List Paragraph"/>
    <w:basedOn w:val="Normal"/>
    <w:uiPriority w:val="34"/>
    <w:qFormat/>
    <w:rsid w:val="00672251"/>
    <w:pPr>
      <w:ind w:left="720"/>
      <w:contextualSpacing/>
    </w:pPr>
  </w:style>
  <w:style w:type="character" w:styleId="IntenseEmphasis">
    <w:name w:val="Intense Emphasis"/>
    <w:basedOn w:val="DefaultParagraphFont"/>
    <w:uiPriority w:val="21"/>
    <w:qFormat/>
    <w:rsid w:val="00672251"/>
    <w:rPr>
      <w:i/>
      <w:iCs/>
      <w:color w:val="0F4761" w:themeColor="accent1" w:themeShade="BF"/>
    </w:rPr>
  </w:style>
  <w:style w:type="paragraph" w:styleId="IntenseQuote">
    <w:name w:val="Intense Quote"/>
    <w:basedOn w:val="Normal"/>
    <w:next w:val="Normal"/>
    <w:link w:val="IntenseQuoteChar"/>
    <w:uiPriority w:val="30"/>
    <w:qFormat/>
    <w:rsid w:val="00672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51"/>
    <w:rPr>
      <w:i/>
      <w:iCs/>
      <w:color w:val="0F4761" w:themeColor="accent1" w:themeShade="BF"/>
    </w:rPr>
  </w:style>
  <w:style w:type="character" w:styleId="IntenseReference">
    <w:name w:val="Intense Reference"/>
    <w:basedOn w:val="DefaultParagraphFont"/>
    <w:uiPriority w:val="32"/>
    <w:qFormat/>
    <w:rsid w:val="00672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More</dc:creator>
  <cp:keywords/>
  <dc:description/>
  <cp:lastModifiedBy>Tanvi More</cp:lastModifiedBy>
  <cp:revision>1</cp:revision>
  <dcterms:created xsi:type="dcterms:W3CDTF">2025-12-06T13:07:00Z</dcterms:created>
  <dcterms:modified xsi:type="dcterms:W3CDTF">2025-12-06T13:17:00Z</dcterms:modified>
</cp:coreProperties>
</file>