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0"/>
        </w:rPr>
        <w:t>Досье поставщика</w:t>
      </w:r>
    </w:p>
    <w:p>
      <w:pPr>
        <w:jc w:val="center"/>
      </w:pPr>
      <w:r>
        <w:rPr>
          <w:rFonts w:ascii="Arial" w:hAnsi="Arial"/>
          <w:i/>
          <w:color w:val="5A5A5A"/>
          <w:sz w:val="21"/>
        </w:rPr>
        <w:t>Контрольный набор B: реквизиты и контакты переставлены местами</w:t>
      </w:r>
    </w:p>
    <w:p>
      <w:r>
        <w:rPr>
          <w:i/>
        </w:rPr>
        <w:t>Все данные синтетические.</w:t>
      </w:r>
    </w:p>
    <w:p>
      <w:r>
        <w:rPr>
          <w:rFonts w:ascii="Arial" w:hAnsi="Arial"/>
          <w:b/>
          <w:color w:val="1F4E79"/>
          <w:sz w:val="23"/>
        </w:rPr>
        <w:t>Контакты и подписант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AF2F8"/>
          </w:tcPr>
          <w:p>
            <w:r/>
            <w:r>
              <w:rPr>
                <w:rFonts w:ascii="Arial" w:hAnsi="Arial"/>
                <w:b/>
                <w:sz w:val="21"/>
              </w:rPr>
              <w:t>Контактное лицо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Петрова Марина Сергеевна</w:t>
            </w:r>
          </w:p>
        </w:tc>
      </w:tr>
      <w:tr>
        <w:tc>
          <w:tcPr>
            <w:tcW w:type="dxa" w:w="4986"/>
            <w:vAlign w:val="center"/>
            <w:shd w:fill="EAF2F8"/>
          </w:tcPr>
          <w:p>
            <w:r/>
            <w:r>
              <w:rPr>
                <w:rFonts w:ascii="Arial" w:hAnsi="Arial"/>
                <w:b/>
                <w:sz w:val="21"/>
              </w:rPr>
              <w:t>Email для закупок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tender@test-supplier.example</w:t>
            </w:r>
          </w:p>
        </w:tc>
      </w:tr>
      <w:tr>
        <w:tc>
          <w:tcPr>
            <w:tcW w:type="dxa" w:w="4986"/>
            <w:vAlign w:val="center"/>
            <w:shd w:fill="EAF2F8"/>
          </w:tcPr>
          <w:p>
            <w:r/>
            <w:r>
              <w:rPr>
                <w:rFonts w:ascii="Arial" w:hAnsi="Arial"/>
                <w:b/>
                <w:sz w:val="21"/>
              </w:rPr>
              <w:t>Телефон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+7 (999) 123-45-67</w:t>
            </w:r>
          </w:p>
        </w:tc>
      </w:tr>
      <w:tr>
        <w:tc>
          <w:tcPr>
            <w:tcW w:type="dxa" w:w="4986"/>
            <w:vAlign w:val="center"/>
            <w:shd w:fill="EAF2F8"/>
          </w:tcPr>
          <w:p>
            <w:r/>
            <w:r>
              <w:rPr>
                <w:rFonts w:ascii="Arial" w:hAnsi="Arial"/>
                <w:b/>
                <w:sz w:val="21"/>
              </w:rPr>
              <w:t>Подписант / должность / основание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Соколов Иван Андреевич, Генеральный директор, действует на основании Устава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Регистрационные и банковские данные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AF2F8"/>
          </w:tcPr>
          <w:p>
            <w:r/>
            <w:r>
              <w:rPr>
                <w:rFonts w:ascii="Arial" w:hAnsi="Arial"/>
                <w:b/>
                <w:sz w:val="21"/>
              </w:rPr>
              <w:t>Краткое / полное наименование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ООО «НордТехРесурс» / Общество с ограниченной ответственностью «НордТехРесурс»</w:t>
            </w:r>
          </w:p>
        </w:tc>
      </w:tr>
      <w:tr>
        <w:tc>
          <w:tcPr>
            <w:tcW w:type="dxa" w:w="4986"/>
            <w:vAlign w:val="center"/>
            <w:shd w:fill="EAF2F8"/>
          </w:tcPr>
          <w:p>
            <w:r/>
            <w:r>
              <w:rPr>
                <w:rFonts w:ascii="Arial" w:hAnsi="Arial"/>
                <w:b/>
                <w:sz w:val="21"/>
              </w:rPr>
              <w:t>ИНН / КПП / ОГРН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7705123456 / 770501001 / 1127746123456</w:t>
            </w:r>
          </w:p>
        </w:tc>
      </w:tr>
      <w:tr>
        <w:tc>
          <w:tcPr>
            <w:tcW w:type="dxa" w:w="4986"/>
            <w:vAlign w:val="center"/>
            <w:shd w:fill="EAF2F8"/>
          </w:tcPr>
          <w:p>
            <w:r/>
            <w:r>
              <w:rPr>
                <w:rFonts w:ascii="Arial" w:hAnsi="Arial"/>
                <w:b/>
                <w:sz w:val="21"/>
              </w:rPr>
              <w:t>Юридический адрес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123112, Российская Федерация, г. Москва, Пресненская набережная, д. 8, стр. 1, офис 42</w:t>
            </w:r>
          </w:p>
        </w:tc>
      </w:tr>
      <w:tr>
        <w:tc>
          <w:tcPr>
            <w:tcW w:type="dxa" w:w="4986"/>
            <w:vAlign w:val="center"/>
            <w:shd w:fill="EAF2F8"/>
          </w:tcPr>
          <w:p>
            <w:r/>
            <w:r>
              <w:rPr>
                <w:rFonts w:ascii="Arial" w:hAnsi="Arial"/>
                <w:b/>
                <w:sz w:val="21"/>
              </w:rPr>
              <w:t>Почтовый адрес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123112, г. Москва, а/я 18</w:t>
            </w:r>
          </w:p>
        </w:tc>
      </w:tr>
      <w:tr>
        <w:tc>
          <w:tcPr>
            <w:tcW w:type="dxa" w:w="4986"/>
            <w:vAlign w:val="center"/>
            <w:shd w:fill="EAF2F8"/>
          </w:tcPr>
          <w:p>
            <w:r/>
            <w:r>
              <w:rPr>
                <w:rFonts w:ascii="Arial" w:hAnsi="Arial"/>
                <w:b/>
                <w:sz w:val="21"/>
              </w:rPr>
              <w:t>Банк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АО «Тест Банк» г. Москва</w:t>
            </w:r>
          </w:p>
        </w:tc>
      </w:tr>
      <w:tr>
        <w:tc>
          <w:tcPr>
            <w:tcW w:type="dxa" w:w="4986"/>
            <w:vAlign w:val="center"/>
            <w:shd w:fill="EAF2F8"/>
          </w:tcPr>
          <w:p>
            <w:r/>
            <w:r>
              <w:rPr>
                <w:rFonts w:ascii="Arial" w:hAnsi="Arial"/>
                <w:b/>
                <w:sz w:val="21"/>
              </w:rPr>
              <w:t>Расчётный счёт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40702810900000012345</w:t>
            </w:r>
          </w:p>
        </w:tc>
      </w:tr>
      <w:tr>
        <w:tc>
          <w:tcPr>
            <w:tcW w:type="dxa" w:w="4986"/>
            <w:vAlign w:val="center"/>
            <w:shd w:fill="EAF2F8"/>
          </w:tcPr>
          <w:p>
            <w:r/>
            <w:r>
              <w:rPr>
                <w:rFonts w:ascii="Arial" w:hAnsi="Arial"/>
                <w:b/>
                <w:sz w:val="21"/>
              </w:rPr>
              <w:t>Корреспондентский счёт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30101810400000000225</w:t>
            </w:r>
          </w:p>
        </w:tc>
      </w:tr>
      <w:tr>
        <w:tc>
          <w:tcPr>
            <w:tcW w:type="dxa" w:w="4986"/>
            <w:vAlign w:val="center"/>
            <w:shd w:fill="EAF2F8"/>
          </w:tcPr>
          <w:p>
            <w:r/>
            <w:r>
              <w:rPr>
                <w:rFonts w:ascii="Arial" w:hAnsi="Arial"/>
                <w:b/>
                <w:sz w:val="21"/>
              </w:rPr>
              <w:t>БИК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044525225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Подтверждения и опыт</w:t>
      </w:r>
    </w:p>
    <w:p>
      <w:pPr>
        <w:pStyle w:val="ListBullet"/>
      </w:pPr>
      <w:r>
        <w:t>Поставщик подтверждает отсутствие процедуры банкротства, ликвидации и просроченной задолженности по налогам и сборам.</w:t>
      </w:r>
    </w:p>
    <w:p>
      <w:pPr>
        <w:pStyle w:val="ListBullet"/>
      </w:pPr>
      <w:r>
        <w:t>Поставщик готов к техническому аудиту и к предоставлению подтверждающих документов по запросу заказчика.</w:t>
      </w:r>
    </w:p>
    <w:p>
      <w:pPr>
        <w:pStyle w:val="ListBullet"/>
      </w:pPr>
      <w:r>
        <w:t>Опыт аналогичных поставок имеется; референсы доступны ниже.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EAF2F8"/>
          </w:tcPr>
          <w:p>
            <w:r/>
            <w:r>
              <w:rPr>
                <w:rFonts w:ascii="Arial" w:hAnsi="Arial"/>
                <w:b/>
                <w:sz w:val="21"/>
              </w:rPr>
              <w:t>Заказчик</w:t>
            </w:r>
          </w:p>
        </w:tc>
        <w:tc>
          <w:tcPr>
            <w:tcW w:type="dxa" w:w="2493"/>
            <w:vAlign w:val="center"/>
            <w:shd w:fill="EAF2F8"/>
          </w:tcPr>
          <w:p>
            <w:r/>
            <w:r>
              <w:rPr>
                <w:rFonts w:ascii="Arial" w:hAnsi="Arial"/>
                <w:b/>
                <w:sz w:val="21"/>
              </w:rPr>
              <w:t>Проект</w:t>
            </w:r>
          </w:p>
        </w:tc>
        <w:tc>
          <w:tcPr>
            <w:tcW w:type="dxa" w:w="2493"/>
            <w:vAlign w:val="center"/>
            <w:shd w:fill="EAF2F8"/>
          </w:tcPr>
          <w:p>
            <w:r/>
            <w:r>
              <w:rPr>
                <w:rFonts w:ascii="Arial" w:hAnsi="Arial"/>
                <w:b/>
                <w:sz w:val="21"/>
              </w:rPr>
              <w:t>Период</w:t>
            </w:r>
          </w:p>
        </w:tc>
        <w:tc>
          <w:tcPr>
            <w:tcW w:type="dxa" w:w="2493"/>
            <w:vAlign w:val="center"/>
            <w:shd w:fill="EAF2F8"/>
          </w:tcPr>
          <w:p>
            <w:r/>
            <w:r>
              <w:rPr>
                <w:rFonts w:ascii="Arial" w:hAnsi="Arial"/>
                <w:b/>
                <w:sz w:val="21"/>
              </w:rPr>
              <w:t>Сумма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АО «Северный монтаж»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Поставка кабельно-проводниковой продукции для объекта «Восток-3»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март 2024 — июнь 2024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4 860 000 руб.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ООО «ГорЭнергоСервис»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Поставка электротехнических материалов для модернизации РП-12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июль 2023 — сентябрь 2023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2 340 000 руб.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ПАО «РегионЭнерго»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Поставка силового кабеля и сопутствующей продукции для ремонтной программы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январь 2025 — февраль 2025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6 120 000 руб.</w:t>
            </w:r>
          </w:p>
        </w:tc>
      </w:tr>
    </w:tbl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