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0"/>
        </w:rPr>
        <w:t>Коммерческое предложение поставщика</w:t>
      </w:r>
    </w:p>
    <w:p>
      <w:pPr>
        <w:jc w:val="center"/>
      </w:pPr>
      <w:r>
        <w:rPr>
          <w:rFonts w:ascii="Arial" w:hAnsi="Arial"/>
          <w:i/>
          <w:color w:val="5A5A5A"/>
          <w:sz w:val="21"/>
        </w:rPr>
        <w:t>Контрольный набор B: та же коммерческая информация в изменённой форме</w:t>
      </w:r>
    </w:p>
    <w:p>
      <w:r>
        <w:rPr>
          <w:i/>
        </w:rPr>
        <w:t>Данные синтетические. Структура документа намеренно отличается от основного набора.</w:t>
      </w:r>
    </w:p>
    <w:p>
      <w:r>
        <w:rPr>
          <w:rFonts w:ascii="Arial" w:hAnsi="Arial"/>
          <w:b/>
          <w:color w:val="1F4E79"/>
          <w:sz w:val="23"/>
        </w:rPr>
        <w:t>Ключевые условия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CE4D6"/>
          </w:tcPr>
          <w:p>
            <w:r/>
            <w:r>
              <w:rPr>
                <w:rFonts w:ascii="Arial" w:hAnsi="Arial"/>
                <w:b/>
                <w:sz w:val="21"/>
              </w:rPr>
              <w:t>Поставщик / валюта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ООО «НордТехРесурс» / RUB</w:t>
            </w:r>
          </w:p>
        </w:tc>
      </w:tr>
      <w:tr>
        <w:tc>
          <w:tcPr>
            <w:tcW w:type="dxa" w:w="4986"/>
            <w:vAlign w:val="center"/>
            <w:shd w:fill="FCE4D6"/>
          </w:tcPr>
          <w:p>
            <w:r/>
            <w:r>
              <w:rPr>
                <w:rFonts w:ascii="Arial" w:hAnsi="Arial"/>
                <w:b/>
                <w:sz w:val="21"/>
              </w:rPr>
              <w:t>Срок действия предложения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60 календарных дней</w:t>
            </w:r>
          </w:p>
        </w:tc>
      </w:tr>
      <w:tr>
        <w:tc>
          <w:tcPr>
            <w:tcW w:type="dxa" w:w="4986"/>
            <w:vAlign w:val="center"/>
            <w:shd w:fill="FCE4D6"/>
          </w:tcPr>
          <w:p>
            <w:r/>
            <w:r>
              <w:rPr>
                <w:rFonts w:ascii="Arial" w:hAnsi="Arial"/>
                <w:b/>
                <w:sz w:val="21"/>
              </w:rPr>
              <w:t>Условия оплаты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30 календарных дней с даты поставки и подписания товаросопроводительных документов</w:t>
            </w:r>
          </w:p>
        </w:tc>
      </w:tr>
      <w:tr>
        <w:tc>
          <w:tcPr>
            <w:tcW w:type="dxa" w:w="4986"/>
            <w:vAlign w:val="center"/>
            <w:shd w:fill="FCE4D6"/>
          </w:tcPr>
          <w:p>
            <w:r/>
            <w:r>
              <w:rPr>
                <w:rFonts w:ascii="Arial" w:hAnsi="Arial"/>
                <w:b/>
                <w:sz w:val="21"/>
              </w:rPr>
              <w:t>Поставка / гарантия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Одна партия; доставка включена; гарантия не менее 12 месяцев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Товарная часть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FCE4D6"/>
          </w:tcPr>
          <w:p>
            <w:r/>
            <w:r>
              <w:rPr>
                <w:rFonts w:ascii="Arial" w:hAnsi="Arial"/>
                <w:b/>
                <w:sz w:val="21"/>
              </w:rPr>
              <w:t>№</w:t>
            </w:r>
          </w:p>
        </w:tc>
        <w:tc>
          <w:tcPr>
            <w:tcW w:type="dxa" w:w="1662"/>
            <w:vAlign w:val="center"/>
            <w:shd w:fill="FCE4D6"/>
          </w:tcPr>
          <w:p>
            <w:r/>
            <w:r>
              <w:rPr>
                <w:rFonts w:ascii="Arial" w:hAnsi="Arial"/>
                <w:b/>
                <w:sz w:val="21"/>
              </w:rPr>
              <w:t>Наименование</w:t>
            </w:r>
          </w:p>
        </w:tc>
        <w:tc>
          <w:tcPr>
            <w:tcW w:type="dxa" w:w="1662"/>
            <w:vAlign w:val="center"/>
            <w:shd w:fill="FCE4D6"/>
          </w:tcPr>
          <w:p>
            <w:r/>
            <w:r>
              <w:rPr>
                <w:rFonts w:ascii="Arial" w:hAnsi="Arial"/>
                <w:b/>
                <w:sz w:val="21"/>
              </w:rPr>
              <w:t>Количество</w:t>
            </w:r>
          </w:p>
        </w:tc>
        <w:tc>
          <w:tcPr>
            <w:tcW w:type="dxa" w:w="1662"/>
            <w:vAlign w:val="center"/>
            <w:shd w:fill="FCE4D6"/>
          </w:tcPr>
          <w:p>
            <w:r/>
            <w:r>
              <w:rPr>
                <w:rFonts w:ascii="Arial" w:hAnsi="Arial"/>
                <w:b/>
                <w:sz w:val="21"/>
              </w:rPr>
              <w:t>Ед.</w:t>
            </w:r>
          </w:p>
        </w:tc>
        <w:tc>
          <w:tcPr>
            <w:tcW w:type="dxa" w:w="1662"/>
            <w:vAlign w:val="center"/>
            <w:shd w:fill="FCE4D6"/>
          </w:tcPr>
          <w:p>
            <w:r/>
            <w:r>
              <w:rPr>
                <w:rFonts w:ascii="Arial" w:hAnsi="Arial"/>
                <w:b/>
                <w:sz w:val="21"/>
              </w:rPr>
              <w:t>Цена без НДС</w:t>
            </w:r>
          </w:p>
        </w:tc>
        <w:tc>
          <w:tcPr>
            <w:tcW w:type="dxa" w:w="1662"/>
            <w:vAlign w:val="center"/>
            <w:shd w:fill="FCE4D6"/>
          </w:tcPr>
          <w:p>
            <w:r/>
            <w:r>
              <w:rPr>
                <w:rFonts w:ascii="Arial" w:hAnsi="Arial"/>
                <w:b/>
                <w:sz w:val="21"/>
              </w:rPr>
              <w:t>Сумма без НДС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1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Кабель силовой ВВГнг(А)-LS 3х2,5 ГОСТ 31996-2012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1200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м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176.00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211200.00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Кабель контрольный КВВГнг(А)-LS 10х1,5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600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м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251.00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150600.00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3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Провод ПВ-3 1х6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800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м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88.50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70800.00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Итоги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CE4D6"/>
          </w:tcPr>
          <w:p>
            <w:r/>
            <w:r>
              <w:rPr>
                <w:rFonts w:ascii="Arial" w:hAnsi="Arial"/>
                <w:b/>
                <w:sz w:val="21"/>
              </w:rPr>
              <w:t>Итого без НДС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432600.00 RUB</w:t>
            </w:r>
          </w:p>
        </w:tc>
      </w:tr>
      <w:tr>
        <w:tc>
          <w:tcPr>
            <w:tcW w:type="dxa" w:w="4986"/>
            <w:vAlign w:val="center"/>
            <w:shd w:fill="FCE4D6"/>
          </w:tcPr>
          <w:p>
            <w:r/>
            <w:r>
              <w:rPr>
                <w:rFonts w:ascii="Arial" w:hAnsi="Arial"/>
                <w:b/>
                <w:sz w:val="21"/>
              </w:rPr>
              <w:t>НДС 20%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86520.00 RUB</w:t>
            </w:r>
          </w:p>
        </w:tc>
      </w:tr>
      <w:tr>
        <w:tc>
          <w:tcPr>
            <w:tcW w:type="dxa" w:w="4986"/>
            <w:vAlign w:val="center"/>
            <w:shd w:fill="FCE4D6"/>
          </w:tcPr>
          <w:p>
            <w:r/>
            <w:r>
              <w:rPr>
                <w:rFonts w:ascii="Arial" w:hAnsi="Arial"/>
                <w:b/>
                <w:sz w:val="21"/>
              </w:rPr>
              <w:t>Итого с НДС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519120.00 RUB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