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64E70"/>
          <w:sz w:val="32"/>
        </w:rPr>
        <w:t>Коммерческие условия и цены поставщика</w:t>
      </w:r>
    </w:p>
    <w:p>
      <w:pPr>
        <w:jc w:val="center"/>
      </w:pPr>
      <w:r>
        <w:rPr>
          <w:i/>
          <w:color w:val="606060"/>
          <w:sz w:val="18"/>
        </w:rPr>
        <w:t>Синтетические данные для тестового задания. Все значения вымышлены.</w:t>
      </w:r>
    </w:p>
    <w:p/>
    <w:p>
      <w:pPr>
        <w:spacing w:before="160" w:after="80"/>
      </w:pPr>
      <w:r>
        <w:rPr>
          <w:b/>
          <w:color w:val="264E70"/>
          <w:sz w:val="23"/>
        </w:rPr>
        <w:t>1. Общая информация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Поставщик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ООО «НордТехРесурс»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Валюта предложения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RUB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Ставка НДС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20%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Срок действия предложения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60 календарных дней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Условия оплаты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Оплата в течение 30 календарных дней с даты поставки и подписания товаросопроводительных документов.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Срок поставки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Срок поставки: в течение 10 календарных дней с даты подписания договора, но не позднее 30.05.2026.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Гарантия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Гарантийный срок на поставляемую продукцию — не менее 12 месяцев с даты поставки.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2. Номенклатура и цены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Ед.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Цена без НДС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</w:tcPr>
          <w:p>
            <w:pPr>
              <w:spacing w:after="0"/>
              <w:jc w:val="center"/>
            </w:pPr>
            <w:r>
              <w:rPr>
                <w:b/>
              </w:rPr>
              <w:t>Сумма без НДС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t>Кабель силовой ВВГнг(А)-LS 3х2,5 ГОСТ 31996-2012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м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1200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176.00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211200.00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t>Кабель контрольный КВВГнг(А)-LS 10х1,5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м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600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251.00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150600.00</w:t>
            </w:r>
          </w:p>
        </w:tc>
      </w:tr>
      <w:tr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t>Провод ПВ-3 1х6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м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t>800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88.50</w:t>
            </w:r>
          </w:p>
        </w:tc>
        <w:tc>
          <w:tcPr>
            <w:tcW w:type="dxa" w:w="1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t>70800.00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3. Итоги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Итого без НДС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432600.00 RUB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НДС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86520.00 RUB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b/>
              </w:rPr>
              <w:t>Итого с НДС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519120.00 RUB</w:t>
            </w:r>
          </w:p>
        </w:tc>
      </w:tr>
    </w:tbl>
    <w:p/>
    <w:p>
      <w:pPr>
        <w:spacing w:before="160" w:after="80"/>
      </w:pPr>
      <w:r>
        <w:rPr>
          <w:b/>
          <w:color w:val="264E70"/>
          <w:sz w:val="23"/>
        </w:rPr>
        <w:t>4. Дополнительные условия</w:t>
      </w:r>
    </w:p>
    <w:p>
      <w:pPr>
        <w:pStyle w:val="ListBullet"/>
      </w:pPr>
      <w:r>
        <w:t>Поставка одной партией.</w:t>
      </w:r>
    </w:p>
    <w:p>
      <w:pPr>
        <w:pStyle w:val="ListBullet"/>
      </w:pPr>
      <w:r>
        <w:t>Доставка включена в цену.</w:t>
      </w:r>
    </w:p>
    <w:p>
      <w:pPr>
        <w:pStyle w:val="ListBullet"/>
      </w:pPr>
      <w:r>
        <w:t>Товар соответствует требованиям заказчика и указанной спецификации.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