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参赛提交文档索引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Submission Document Index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定义整套参赛材料的职责边界、证据关系与推荐阅读路径。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文档编号：00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00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定义整套参赛材料的职责边界、证据关系与推荐阅读路径。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文档编号：00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文档性质：提交文档总索引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适用项目：AXIOM Space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适用赛题：第十五届中国软件杯 A3「基于大模型的个性化资源生成与学习多智能体系统开发」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5fe65d81" w:history="1">
        <w:r>
          <w:rPr>
            <w:rFonts w:ascii="Microsoft YaHei" w:hAnsi="Microsoft YaHei" w:eastAsia="微软雅黑"/>
            <w:color w:val="10243E"/>
            <w:b/>
            <w:u w:val="none"/>
          </w:rPr>
          <w:t>1. 文档目的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23b915e6" w:history="1">
        <w:r>
          <w:rPr>
            <w:rFonts w:ascii="Microsoft YaHei" w:hAnsi="Microsoft YaHei" w:eastAsia="微软雅黑"/>
            <w:color w:val="10243E"/>
            <w:b/>
            <w:u w:val="none"/>
          </w:rPr>
          <w:t>2. 编排原则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fd7f2c26" w:history="1">
        <w:r>
          <w:rPr>
            <w:rFonts w:ascii="Microsoft YaHei" w:hAnsi="Microsoft YaHei" w:eastAsia="微软雅黑"/>
            <w:color w:val="10243E"/>
            <w:b/>
            <w:u w:val="none"/>
          </w:rPr>
          <w:t>3. 提交文档总表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4_89e69783" w:history="1">
        <w:r>
          <w:rPr>
            <w:rFonts w:ascii="Microsoft YaHei" w:hAnsi="Microsoft YaHei" w:eastAsia="微软雅黑"/>
            <w:color w:val="10243E"/>
            <w:b/>
            <w:u w:val="none"/>
          </w:rPr>
          <w:t>4. 各文档职责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_cfaf41b9" w:history="1">
        <w:r>
          <w:rPr>
            <w:rFonts w:ascii="Microsoft YaHei" w:hAnsi="Microsoft YaHei" w:eastAsia="微软雅黑"/>
            <w:color w:val="0F756D"/>
            <w:u w:val="none"/>
          </w:rPr>
          <w:t>00-提交文档索引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_98851a4e" w:history="1">
        <w:r>
          <w:rPr>
            <w:rFonts w:ascii="Microsoft YaHei" w:hAnsi="Microsoft YaHei" w:eastAsia="微软雅黑"/>
            <w:color w:val="0F756D"/>
            <w:u w:val="none"/>
          </w:rPr>
          <w:t>01-用户研究报告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_e6441fce" w:history="1">
        <w:r>
          <w:rPr>
            <w:rFonts w:ascii="Microsoft YaHei" w:hAnsi="Microsoft YaHei" w:eastAsia="微软雅黑"/>
            <w:color w:val="0F756D"/>
            <w:u w:val="none"/>
          </w:rPr>
          <w:t>02-软件需求规格说明书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8_5838ba7b" w:history="1">
        <w:r>
          <w:rPr>
            <w:rFonts w:ascii="Microsoft YaHei" w:hAnsi="Microsoft YaHei" w:eastAsia="微软雅黑"/>
            <w:color w:val="0F756D"/>
            <w:u w:val="none"/>
          </w:rPr>
          <w:t>03-系统设计与开发说明书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_b4e81675" w:history="1">
        <w:r>
          <w:rPr>
            <w:rFonts w:ascii="Microsoft YaHei" w:hAnsi="Microsoft YaHei" w:eastAsia="微软雅黑"/>
            <w:color w:val="0F756D"/>
            <w:u w:val="none"/>
          </w:rPr>
          <w:t>04-测试说明书与测试报告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0_7eb5e546" w:history="1">
        <w:r>
          <w:rPr>
            <w:rFonts w:ascii="Microsoft YaHei" w:hAnsi="Microsoft YaHei" w:eastAsia="微软雅黑"/>
            <w:color w:val="0F756D"/>
            <w:u w:val="none"/>
          </w:rPr>
          <w:t>05-部署说明书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1_4623ee25" w:history="1">
        <w:r>
          <w:rPr>
            <w:rFonts w:ascii="Microsoft YaHei" w:hAnsi="Microsoft YaHei" w:eastAsia="微软雅黑"/>
            <w:color w:val="0F756D"/>
            <w:u w:val="none"/>
          </w:rPr>
          <w:t>06-用户使用说明书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2_c730e334" w:history="1">
        <w:r>
          <w:rPr>
            <w:rFonts w:ascii="Microsoft YaHei" w:hAnsi="Microsoft YaHei" w:eastAsia="微软雅黑"/>
            <w:color w:val="0F756D"/>
            <w:u w:val="none"/>
          </w:rPr>
          <w:t>07-《软件设计模式》系统化学习资料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3_02089a5f" w:history="1">
        <w:r>
          <w:rPr>
            <w:rFonts w:ascii="Microsoft YaHei" w:hAnsi="Microsoft YaHei" w:eastAsia="微软雅黑"/>
            <w:color w:val="0F756D"/>
            <w:u w:val="none"/>
          </w:rPr>
          <w:t>08-开源组件使用与合规说明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_c809c4b1" w:history="1">
        <w:r>
          <w:rPr>
            <w:rFonts w:ascii="Microsoft YaHei" w:hAnsi="Microsoft YaHei" w:eastAsia="微软雅黑"/>
            <w:color w:val="0F756D"/>
            <w:u w:val="none"/>
          </w:rPr>
          <w:t>09-团队级 AI Coding 方法论与 AI 辅助开发流程说明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_6a947cb1" w:history="1">
        <w:r>
          <w:rPr>
            <w:rFonts w:ascii="Microsoft YaHei" w:hAnsi="Microsoft YaHei" w:eastAsia="微软雅黑"/>
            <w:color w:val="0F756D"/>
            <w:u w:val="none"/>
          </w:rPr>
          <w:t>10-产品创新与设计决策全记录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16_c06cc553" w:history="1">
        <w:r>
          <w:rPr>
            <w:rFonts w:ascii="Microsoft YaHei" w:hAnsi="Microsoft YaHei" w:eastAsia="微软雅黑"/>
            <w:color w:val="10243E"/>
            <w:b/>
            <w:u w:val="none"/>
          </w:rPr>
          <w:t>5. 文档之间的证据链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7_ba47fadd" w:history="1">
        <w:r>
          <w:rPr>
            <w:rFonts w:ascii="Microsoft YaHei" w:hAnsi="Microsoft YaHei" w:eastAsia="微软雅黑"/>
            <w:color w:val="10243E"/>
            <w:b/>
            <w:u w:val="none"/>
          </w:rPr>
          <w:t>6. 文档体系结构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8_18afb41b" w:history="1">
        <w:r>
          <w:rPr>
            <w:rFonts w:ascii="Microsoft YaHei" w:hAnsi="Microsoft YaHei" w:eastAsia="微软雅黑"/>
            <w:color w:val="10243E"/>
            <w:b/>
            <w:u w:val="none"/>
          </w:rPr>
          <w:t>7. 阅读路径</w:t>
        </w:r>
      </w:hyperlink>
    </w:p>
    <w:p>
      <w:r>
        <w:br w:type="page"/>
      </w:r>
    </w:p>
    <w:p>
      <w:bookmarkStart w:id="101" w:name="AXH_1_5fe65d81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文档目的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本索引用于向评审明确 AXIOM Space 最终提交文档的组成、职责边界、证据关系和阅读顺序。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每份文档只承担一种主要责任。相同事实只在一份文档中完整说明，其他文档通过编号或链接引用，避免重复叙述、内容冲突和版本失真。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本索引只负责导航，不代替任何需求、设计、测试、部署或合规证据。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本套提交文档共同证明四项核心价值：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评审维度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的核心结论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大学生真正缺少的不是更多内容，而是持续、个性化、可验证的掌握过程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01、02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产品创新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 Agent Harness 为牵引，将画像、路径、卡片、资源、RAG、图谱与评估组成同一学习闭环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10、03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工程能力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从领域对象、接口、状态和权限到部署、测试均形成可追溯实现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03、04、05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交付完整性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课程内容、用户操作、开源来源和 AI 开发过程分别具有独立文档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06、07、08、09</w:t>
            </w:r>
          </w:p>
        </w:tc>
      </w:tr>
    </w:tbl>
    <w:p>
      <w:pPr>
        <w:spacing w:after="40"/>
      </w:pPr>
    </w:p>
    <w:p>
      <w:bookmarkStart w:id="102" w:name="AXH_2_23b915e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编排原则</w:t>
      </w:r>
      <w:bookmarkEnd w:id="102"/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单一职责：</w:t>
      </w:r>
      <w:r>
        <w:rPr>
          <w:rFonts w:ascii="Arial" w:hAnsi="Arial" w:eastAsia="宋体" w:cs="Arial"/>
          <w:b w:val="0"/>
          <w:i w:val="0"/>
        </w:rPr>
        <w:t xml:space="preserve"> 每份文档只回答一个核心问题。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证据归位：</w:t>
      </w:r>
      <w:r>
        <w:rPr>
          <w:rFonts w:ascii="Arial" w:hAnsi="Arial" w:eastAsia="宋体" w:cs="Arial"/>
          <w:b w:val="0"/>
          <w:i w:val="0"/>
        </w:rPr>
        <w:t xml:space="preserve"> 调研证据进入用户研究报告，验收结果进入测试文档，第三方信息进入开源说明。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需求可追溯：</w:t>
      </w:r>
      <w:r>
        <w:rPr>
          <w:rFonts w:ascii="Arial" w:hAnsi="Arial" w:eastAsia="宋体" w:cs="Arial"/>
          <w:b w:val="0"/>
          <w:i w:val="0"/>
        </w:rPr>
        <w:t xml:space="preserve"> 用户问题应能依次追溯到系统需求、技术实现和测试结果。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事实优先：</w:t>
      </w:r>
      <w:r>
        <w:rPr>
          <w:rFonts w:ascii="Arial" w:hAnsi="Arial" w:eastAsia="宋体" w:cs="Arial"/>
          <w:b w:val="0"/>
          <w:i w:val="0"/>
        </w:rPr>
        <w:t xml:space="preserve"> 只记录已经完成、能够运行或有数据支撑的内容；规划能力和已实现能力必须明确区分。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减少重复：</w:t>
      </w:r>
      <w:r>
        <w:rPr>
          <w:rFonts w:ascii="Arial" w:hAnsi="Arial" w:eastAsia="宋体" w:cs="Arial"/>
          <w:b w:val="0"/>
          <w:i w:val="0"/>
        </w:rPr>
        <w:t xml:space="preserve"> 采用职责化文档体系，避免泛化“项目说明书”和综合汇编造成信息冲突。</w:t>
      </w:r>
    </w:p>
    <w:p>
      <w:bookmarkStart w:id="103" w:name="AXH_3_fd7f2c2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提交文档总表</w:t>
      </w:r>
      <w:bookmarkEnd w:id="10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930"/>
        <w:gridCol w:w="3081"/>
        <w:gridCol w:w="2496"/>
        <w:gridCol w:w="2784"/>
      </w:tblGrid>
      <w:tr>
        <w:trPr>
          <w:tblHeader w:val="true"/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文档名称</w:t>
            </w:r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核心责任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它要回答的问题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00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4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提交文档索引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文档导航与职责定义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全部材料如何组织、应该先看什么？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5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用户研究报告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还原目标用户及真实学习问题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新时代大学生究竟遇到了什么学习困难？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6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软件需求规格说明书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把用户问题转化为可验收的软件需求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系统必须做什么，做到什么程度才算完成？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03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7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系统设计与开发说明书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说明技术方案及其实际实现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系统如何设计，又是怎样被开发出来的？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04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8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测试说明书与测试报告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定义并执行系统验证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系统如何被验证，实际测试结果是什么？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05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19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部署说明书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使系统能够被独立安装和运行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在新的环境中怎样把系统可靠地运行起来？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0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用户使用说明书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指导用户完成核心学习任务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学生或评委怎样正确使用系统？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1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《软件设计模式》系统化学习资料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提供一门可直接学习和导入系统的完整课程资料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学习者如何从基础到实践掌握软件设计模式？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08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2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开源组件使用与合规说明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披露第三方开源依赖及许可证责任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项目借用了哪些开源成果，分别怎样合规使用？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09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3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团队级 AI Coding 方法论与 AI 辅助开发流程说明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完整呈现团队研究并实践的 AI Coding、Loop 与 Harness 方法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怎样把 AI 从代码生成工具变成受规格、测试和证据驾驭的工程执行单元？</w:t>
            </w:r>
          </w:p>
        </w:tc>
      </w:tr>
      <w:tr>
        <w:trPr>
          <w:cantSplit w:val="true"/>
        </w:trPr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</w:t>
            </w:r>
          </w:p>
        </w:tc>
        <w:tc>
          <w:tcPr>
            <w:tcW w:type="dxa" w:w="3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hyperlink r:id="rId24" w:history="1">
              <w:r>
                <w:rPr>
                  <w:rFonts w:ascii="Microsoft YaHei" w:hAnsi="Microsoft YaHei" w:eastAsia="微软雅黑"/>
                  <w:color w:val="0F756D"/>
                  <w:u w:val="single"/>
                </w:rPr>
                <w:t>产品创新与设计决策全记录</w:t>
              </w:r>
            </w:hyperlink>
          </w:p>
        </w:tc>
        <w:tc>
          <w:tcPr>
            <w:tcW w:type="dxa" w:w="2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完整呈现产品创新形成过程与关键取舍</w:t>
            </w:r>
          </w:p>
        </w:tc>
        <w:tc>
          <w:tcPr>
            <w:tcW w:type="dxa" w:w="2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团队为什么这样设计，每一步如何比较、推导并形成最终决策？</w:t>
            </w:r>
          </w:p>
        </w:tc>
      </w:tr>
    </w:tbl>
    <w:p>
      <w:pPr>
        <w:spacing w:after="40"/>
      </w:pPr>
    </w:p>
    <w:p>
      <w:bookmarkStart w:id="104" w:name="AXH_4_89e6978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各文档职责</w:t>
      </w:r>
      <w:bookmarkEnd w:id="104"/>
    </w:p>
    <w:p>
      <w:bookmarkStart w:id="105" w:name="AXH_5_cfaf41b9"/>
      <w:pPr>
        <w:pStyle w:val="Heading2"/>
      </w:pPr>
      <w:r>
        <w:rPr>
          <w:rFonts w:ascii="Arial" w:hAnsi="Arial" w:eastAsia="宋体" w:cs="Arial"/>
          <w:b/>
          <w:i w:val="0"/>
        </w:rPr>
        <w:t>00-提交文档索引</w:t>
      </w:r>
      <w:bookmarkEnd w:id="105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为评审提供统一入口，说明每份文档的用途、边界、证据位置和相互关系。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不承担：</w:t>
      </w:r>
      <w:r>
        <w:rPr>
          <w:rFonts w:ascii="Arial" w:hAnsi="Arial" w:eastAsia="宋体" w:cs="Arial"/>
          <w:b w:val="0"/>
          <w:i w:val="0"/>
        </w:rPr>
        <w:t xml:space="preserve"> 不在本文件中展开需求、技术方案、测试结论或产品宣传。</w:t>
      </w:r>
    </w:p>
    <w:p>
      <w:bookmarkStart w:id="106" w:name="AXH_6_98851a4e"/>
      <w:pPr>
        <w:pStyle w:val="Heading2"/>
      </w:pPr>
      <w:r>
        <w:rPr>
          <w:rFonts w:ascii="Arial" w:hAnsi="Arial" w:eastAsia="宋体" w:cs="Arial"/>
          <w:b/>
          <w:i w:val="0"/>
        </w:rPr>
        <w:t>01-用户研究报告</w:t>
      </w:r>
      <w:bookmarkEnd w:id="106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用访谈、问卷、观察、学习任务或其他可追溯材料，证明目标学生的学习需求和痛点真实存在。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研究目标、对象、样本和方法；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原始问题、典型表达与统计结果；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学习资源、个性化指导、知识掌握和学习反馈方面的真实痛点；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用户分层、典型场景和关键发现；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调研限制及不能由现有数据推出的结论。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本文档陈述“用户发生了什么”，不设计系统功能，也不解释技术实现。</w:t>
      </w:r>
    </w:p>
    <w:p>
      <w:bookmarkStart w:id="107" w:name="AXH_7_e6441fce"/>
      <w:pPr>
        <w:pStyle w:val="Heading2"/>
      </w:pPr>
      <w:r>
        <w:rPr>
          <w:rFonts w:ascii="Arial" w:hAnsi="Arial" w:eastAsia="宋体" w:cs="Arial"/>
          <w:b/>
          <w:i w:val="0"/>
        </w:rPr>
        <w:t>02-软件需求规格说明书</w:t>
      </w:r>
      <w:bookmarkEnd w:id="107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将用户研究结论和赛题要求转化为明确、可编号、可测试的软件需求。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产品范围、目标用户和使用场景；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功能需求、非功能需求、数据需求和约束条件；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多智能体、动态画像、多类型资源、学习路径、精准推送及加分能力的需求定义；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前沿 AI 技术与具体需求的对应关系；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每项需求的优先级、验收标准和追溯编号；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不在本次交付范围内的能力。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本文档只规定“系统必须做什么”，不写架构、代码实现或测试结果。</w:t>
      </w:r>
    </w:p>
    <w:p>
      <w:bookmarkStart w:id="108" w:name="AXH_8_5838ba7b"/>
      <w:pPr>
        <w:pStyle w:val="Heading2"/>
      </w:pPr>
      <w:r>
        <w:rPr>
          <w:rFonts w:ascii="Arial" w:hAnsi="Arial" w:eastAsia="宋体" w:cs="Arial"/>
          <w:b/>
          <w:i w:val="0"/>
        </w:rPr>
        <w:t>03-系统设计与开发说明书</w:t>
      </w:r>
      <w:bookmarkEnd w:id="108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说明 AXIOM Space 的系统架构、技术方案和实际开发实现，是系统技术全貌的主要文档。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总体架构、领域边界、数据流和技术栈；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多智能体角色、协作协议、工具调用和状态流转；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动态画像、学习路径、资源生成、推送、评估、RAG 与知识图谱设计；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用户界面、核心交互和多模态内容呈现设计；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数据模型、接口契约、系统集成和关键实现；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前沿 AI 技术的融合思路与实现方法；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防幻觉、内容安全、权限、错误处理和稳定性设计；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性能优化、开发过程及创新设计的工程落地；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需求编号到实现模块和关键代码的追溯关系。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本文档负责“怎样设计和实现”，不重复用户调研，不记录测试执行结果，也不承担安装操作教程。</w:t>
      </w:r>
    </w:p>
    <w:p>
      <w:bookmarkStart w:id="109" w:name="AXH_9_b4e81675"/>
      <w:pPr>
        <w:pStyle w:val="Heading2"/>
      </w:pPr>
      <w:r>
        <w:rPr>
          <w:rFonts w:ascii="Arial" w:hAnsi="Arial" w:eastAsia="宋体" w:cs="Arial"/>
          <w:b/>
          <w:i w:val="0"/>
        </w:rPr>
        <w:t>04-测试说明书与测试报告</w:t>
      </w:r>
      <w:bookmarkEnd w:id="109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在同一份验证文档中先规定测试方法和通过标准，再记录真实执行结果。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测试范围、环境、数据、策略和退出条件；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需求编号与测试用例的追溯矩阵；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核心功能、接口、智能体协作和端到端流程测试；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性能、响应时间、生成进度、兼容性和稳定性测试；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防幻觉、内容安全、异常输入和失败恢复测试；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用户体验与学习效果验证；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实际执行记录、通过率、失败项、缺陷、复测结果和验收结论；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当前已知限制与未覆盖风险。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本文档只负责“如何验证以及验证结果”，不重新解释系统设计。</w:t>
      </w:r>
    </w:p>
    <w:p>
      <w:bookmarkStart w:id="110" w:name="AXH_10_7eb5e546"/>
      <w:pPr>
        <w:pStyle w:val="Heading2"/>
      </w:pPr>
      <w:r>
        <w:rPr>
          <w:rFonts w:ascii="Arial" w:hAnsi="Arial" w:eastAsia="宋体" w:cs="Arial"/>
          <w:b/>
          <w:i w:val="0"/>
        </w:rPr>
        <w:t>05-部署说明书</w:t>
      </w:r>
      <w:bookmarkEnd w:id="110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让未参与开发的人能够在常规环境中完成安装、配置、初始化、启动和健康检查。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推荐环境、最低环境和依赖条件；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环境变量、模型服务、数据库及外部服务配置；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依赖安装、数据库迁移和初始数据导入；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开发模式与生产模式的启动步骤；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服务状态、健康检查和部署成功判定；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常见部署故障、定位方法和恢复步骤；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敏感配置与数据安全注意事项。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本文档只负责“把系统运行起来”，不讲解产品业务操作。</w:t>
      </w:r>
    </w:p>
    <w:p>
      <w:bookmarkStart w:id="111" w:name="AXH_11_4623ee25"/>
      <w:pPr>
        <w:pStyle w:val="Heading2"/>
      </w:pPr>
      <w:r>
        <w:rPr>
          <w:rFonts w:ascii="Arial" w:hAnsi="Arial" w:eastAsia="宋体" w:cs="Arial"/>
          <w:b/>
          <w:i w:val="0"/>
        </w:rPr>
        <w:t>06-用户使用说明书</w:t>
      </w:r>
      <w:bookmarkEnd w:id="11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指导学生、教师或评委完成 AXIOM Space 的主要学习流程。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账号进入、课程选择和初始画像；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学习资料导入及学习路径生成；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对话学习、主动追问和卡片沉淀；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多类型资源生成、查看与使用；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学习评估、路径调整和资源推送；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画像、知识图谱和历史学习记录查看；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常见操作问题和用户侧错误处理。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本文档只讲“怎样使用”，不提供安装部署、架构原理或开发细节。</w:t>
      </w:r>
    </w:p>
    <w:p>
      <w:bookmarkStart w:id="112" w:name="AXH_12_c730e334"/>
      <w:pPr>
        <w:pStyle w:val="Heading2"/>
      </w:pPr>
      <w:r>
        <w:rPr>
          <w:rFonts w:ascii="Arial" w:hAnsi="Arial" w:eastAsia="宋体" w:cs="Arial"/>
          <w:b/>
          <w:i w:val="0"/>
        </w:rPr>
        <w:t>07-《软件设计模式》系统化学习资料</w:t>
      </w:r>
      <w:bookmarkEnd w:id="112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提供一份真正面向学习者的完整课程资料，同时作为 AXIOM Space 可导入、可生成路径、可开展评估的高校课程内容样本。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内容方向：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面向对象基础与设计模式产生的问题背景；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SOLID 等核心设计原则；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创建型、结构型和行为型设计模式；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每个模式的适用场景、结构、实现、反例和常见误区；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模式之间的区别、组合方式和选择依据；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分章节练习、代码实践、复习问题和综合项目；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从“能识别模式”到“能在真实问题中选择和实现模式”的递进学习路径。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每章应具有学习目标、前置知识、核心讲解、示例、反例、练习和章节检查点，形成可连续学习的课程，而不是设计模式名词汇编。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本资料只承担课程教学，不介绍 AXIOM Space 项目，也不承担数据集清单或技术说明书的职责。</w:t>
      </w:r>
    </w:p>
    <w:p>
      <w:bookmarkStart w:id="113" w:name="AXH_13_02089a5f"/>
      <w:pPr>
        <w:pStyle w:val="Heading2"/>
      </w:pPr>
      <w:r>
        <w:rPr>
          <w:rFonts w:ascii="Arial" w:hAnsi="Arial" w:eastAsia="宋体" w:cs="Arial"/>
          <w:b/>
          <w:i w:val="0"/>
        </w:rPr>
        <w:t>08-开源组件使用与合规说明</w:t>
      </w:r>
      <w:bookmarkEnd w:id="113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集中披露项目直接使用或修改的开源组件，明确来源、用途、许可证义务和自主开发边界。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开源组件名称、版本、官方网站和代码仓库；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组件在项目中的具体用途；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许可证名称、版权声明和再分发要求；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是否修改源码以及修改范围；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需要随作品保留的许可证或声明；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开源实现与团队自主开发代码的边界。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本文档只负责开源来源与合规，不描述 AI 辅助开发过程。</w:t>
      </w:r>
    </w:p>
    <w:p>
      <w:bookmarkStart w:id="114" w:name="AXH_14_c809c4b1"/>
      <w:pPr>
        <w:pStyle w:val="Heading2"/>
      </w:pPr>
      <w:r>
        <w:rPr>
          <w:rFonts w:ascii="Arial" w:hAnsi="Arial" w:eastAsia="宋体" w:cs="Arial"/>
          <w:b/>
          <w:i w:val="0"/>
        </w:rPr>
        <w:t>09-团队级 AI Coding 方法论与 AI 辅助开发流程说明</w:t>
      </w:r>
      <w:bookmarkEnd w:id="114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以团队内部研究成果《团队级 AI Coding 简明手册 v0.2》为主体，系统说明从 Rules、Specification、Skills 到 Loop Engineering、Harness Engineering 的完整方法、具体流程、验证结果与项目实践。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AI 编程思想从原始交互、Rule、SDD、Loop Engineering 到 Harness Engineering 的演进；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需求规格、原型、上下文、技术 DSL、打样工程和多任务隔离的具体做法；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研发自测核心 Loop、E2E 超级 Loop 和 Browser Use→Playwright 固化流程；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Agent as Code 的仓库组织、工具共享、权限与证据治理；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团队具体设计、检验并实践出的项目级 Harness 方法论；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30 页方法论材料的逐页研究与执行说明；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AXIOM 使用的 Codex、Claude Code、Browser Use、Playwright 及运行时 AI 能力，仅作为方法落地旁证。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本文档以团队级 AI Coding 方法论为唯一主体；项目架构、运行时模型和工具清单只用于证明方法怎样落地，不重复系统设计，也不承担开源许可证清单。</w:t>
      </w:r>
    </w:p>
    <w:p>
      <w:bookmarkStart w:id="115" w:name="AXH_15_6a947cb1"/>
      <w:pPr>
        <w:pStyle w:val="Heading2"/>
      </w:pPr>
      <w:r>
        <w:rPr>
          <w:rFonts w:ascii="Arial" w:hAnsi="Arial" w:eastAsia="宋体" w:cs="Arial"/>
          <w:b/>
          <w:i w:val="0"/>
        </w:rPr>
        <w:t>10-产品创新与设计决策全记录</w:t>
      </w:r>
      <w:bookmarkEnd w:id="115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用途：</w:t>
      </w:r>
      <w:r>
        <w:rPr>
          <w:rFonts w:ascii="Arial" w:hAnsi="Arial" w:eastAsia="宋体" w:cs="Arial"/>
          <w:b w:val="0"/>
          <w:i w:val="0"/>
        </w:rPr>
        <w:t xml:space="preserve"> 以 2 号目录的 10 份原始设计记录为主体，完整呈现 AXIOM Space 从问题定义、候选方案比较、约束分析到最终产品与技术决策形成的全过程。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主要内容：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技术架构、事实源和系统分层的选型依据；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自研垂直领域 Agent Harness、双 Agent 与按需子 Agent 的形成过程；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Web 工作台优先的产品形态取舍；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知识图谱、RAG、知识准入、画像闭环、主动推送和学习评估的创新设计；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每项决策比较过的方案、否决理由、数据契约、交互规则和成功标准；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工程目录治理与长期可维护性要求；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决策记录与需求、实现和测试文档之间的对应关系。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职责边界：</w:t>
      </w:r>
      <w:r>
        <w:rPr>
          <w:rFonts w:ascii="Arial" w:hAnsi="Arial" w:eastAsia="宋体" w:cs="Arial"/>
          <w:b w:val="0"/>
          <w:i w:val="0"/>
        </w:rPr>
        <w:t xml:space="preserve"> 本文档负责“为什么这样设计以及决策怎样形成”，不重复 03 的实现细节，也不替代 04 的当前测试结论。</w:t>
      </w:r>
    </w:p>
    <w:p>
      <w:bookmarkStart w:id="116" w:name="AXH_16_c06cc55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文档之间的证据链</w:t>
      </w:r>
      <w:bookmarkEnd w:id="116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4100"/>
            <wp:docPr id="2" name="Picture 2" descr="5. 文档之间的证据链（流程/架构图）" title="5. 文档之间的证据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98b8dd2cc04c165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5. 文档之间的证据链（流程/架构图）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最重要的主证据链是：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用户研究发现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软件需求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产品创新与设计决策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系统设计与实现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测试用例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测试结果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所有重要能力均应沿这条链完成追溯。版本级能力认定以需求编号、设计依据、实现位置和测试结果共同构成。</w:t>
      </w:r>
    </w:p>
    <w:p>
      <w:bookmarkStart w:id="117" w:name="AXH_17_ba47fad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文档体系结构</w:t>
      </w:r>
      <w:bookmarkEnd w:id="117"/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03-系统设计与开发说明书</w:t>
      </w:r>
      <w:r>
        <w:rPr>
          <w:rFonts w:ascii="Arial" w:hAnsi="Arial" w:eastAsia="宋体" w:cs="Arial"/>
          <w:b w:val="0"/>
          <w:i w:val="0"/>
        </w:rPr>
        <w:t>统一承担技术方案与实际实现说明。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04-测试说明书与测试报告</w:t>
      </w:r>
      <w:r>
        <w:rPr>
          <w:rFonts w:ascii="Arial" w:hAnsi="Arial" w:eastAsia="宋体" w:cs="Arial"/>
          <w:b w:val="0"/>
          <w:i w:val="0"/>
        </w:rPr>
        <w:t>统一承担验证设计、执行记录与验收结论。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07-《软件设计模式》系统化学习资料</w:t>
      </w:r>
      <w:r>
        <w:rPr>
          <w:rFonts w:ascii="Arial" w:hAnsi="Arial" w:eastAsia="宋体" w:cs="Arial"/>
          <w:b w:val="0"/>
          <w:i w:val="0"/>
        </w:rPr>
        <w:t>作为可直接学习、可导入系统和可开展评估的完整课程内容。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08-开源组件使用与合规说明</w:t>
      </w:r>
      <w:r>
        <w:rPr>
          <w:rFonts w:ascii="Arial" w:hAnsi="Arial" w:eastAsia="宋体" w:cs="Arial"/>
          <w:b w:val="0"/>
          <w:i w:val="0"/>
        </w:rPr>
        <w:t>承担第三方软件合规；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09-AI工具使用与AI辅助开发流程说明</w:t>
      </w:r>
      <w:r>
        <w:rPr>
          <w:rFonts w:ascii="Arial" w:hAnsi="Arial" w:eastAsia="宋体" w:cs="Arial"/>
          <w:b w:val="0"/>
          <w:i w:val="0"/>
        </w:rPr>
        <w:t>独立承担团队级 AI Coding、Loop 与 Harness 方法论，边界清晰。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10-产品创新与设计决策全记录</w:t>
      </w:r>
      <w:r>
        <w:rPr>
          <w:rFonts w:ascii="Arial" w:hAnsi="Arial" w:eastAsia="宋体" w:cs="Arial"/>
          <w:b w:val="0"/>
          <w:i w:val="0"/>
        </w:rPr>
        <w:t>独立承担方案比较、设计推导和创新形成证据，完整保留 2 号目录原始记录。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演示 PPT、演示视频、项目源码、运行配置和课程资源文件属于赛事总提交物，与本说明书体系共同组成完整交付。</w:t>
      </w:r>
    </w:p>
    <w:p>
      <w:bookmarkStart w:id="118" w:name="AXH_18_18afb41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阅读路径</w:t>
      </w:r>
      <w:bookmarkEnd w:id="118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项目综合评审：</w:t>
      </w:r>
      <w:r>
        <w:rPr>
          <w:rFonts w:ascii="Arial" w:hAnsi="Arial" w:eastAsia="宋体" w:cs="Arial"/>
          <w:b w:val="0"/>
          <w:i w:val="0"/>
        </w:rPr>
        <w:t xml:space="preserve"> 00 → 01 → 02 → 10 → 03 → 04。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产品创新评审：</w:t>
      </w:r>
      <w:r>
        <w:rPr>
          <w:rFonts w:ascii="Arial" w:hAnsi="Arial" w:eastAsia="宋体" w:cs="Arial"/>
          <w:b w:val="0"/>
          <w:i w:val="0"/>
        </w:rPr>
        <w:t xml:space="preserve"> 01 → 02 → 10。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技术实现与复现：</w:t>
      </w:r>
      <w:r>
        <w:rPr>
          <w:rFonts w:ascii="Arial" w:hAnsi="Arial" w:eastAsia="宋体" w:cs="Arial"/>
          <w:b w:val="0"/>
          <w:i w:val="0"/>
        </w:rPr>
        <w:t xml:space="preserve"> 03 → 05 → 04。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用户体验与课程内容：</w:t>
      </w:r>
      <w:r>
        <w:rPr>
          <w:rFonts w:ascii="Arial" w:hAnsi="Arial" w:eastAsia="宋体" w:cs="Arial"/>
          <w:b w:val="0"/>
          <w:i w:val="0"/>
        </w:rPr>
        <w:t xml:space="preserve"> 06 → 07。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AI 工程方法与验证：</w:t>
      </w:r>
      <w:r>
        <w:rPr>
          <w:rFonts w:ascii="Arial" w:hAnsi="Arial" w:eastAsia="宋体" w:cs="Arial"/>
          <w:b w:val="0"/>
          <w:i w:val="0"/>
        </w:rPr>
        <w:t xml:space="preserve"> 09 → 03 → 04。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第三方开源来源与合规：</w:t>
      </w:r>
      <w:r>
        <w:rPr>
          <w:rFonts w:ascii="Arial" w:hAnsi="Arial" w:eastAsia="宋体" w:cs="Arial"/>
          <w:b w:val="0"/>
          <w:i w:val="0"/>
        </w:rPr>
        <w:t xml:space="preserve"> 08。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00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[00] 参赛提交文档索引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0-&#25552;&#20132;&#25991;&#26723;&#32034;&#24341;.docx" TargetMode="External"/><Relationship Id="rId15" Type="http://schemas.openxmlformats.org/officeDocument/2006/relationships/hyperlink" Target="01-&#29992;&#25143;&#30740;&#31350;&#25253;&#21578;.docx" TargetMode="External"/><Relationship Id="rId16" Type="http://schemas.openxmlformats.org/officeDocument/2006/relationships/hyperlink" Target="02-&#36719;&#20214;&#38656;&#27714;&#35268;&#26684;&#35828;&#26126;&#20070;.docx" TargetMode="External"/><Relationship Id="rId17" Type="http://schemas.openxmlformats.org/officeDocument/2006/relationships/hyperlink" Target="03-&#31995;&#32479;&#35774;&#35745;&#19982;&#24320;&#21457;&#35828;&#26126;&#20070;.docx" TargetMode="External"/><Relationship Id="rId18" Type="http://schemas.openxmlformats.org/officeDocument/2006/relationships/hyperlink" Target="04-&#27979;&#35797;&#35828;&#26126;&#20070;&#19982;&#27979;&#35797;&#25253;&#21578;.docx" TargetMode="External"/><Relationship Id="rId19" Type="http://schemas.openxmlformats.org/officeDocument/2006/relationships/hyperlink" Target="05-&#37096;&#32626;&#35828;&#26126;&#20070;.docx" TargetMode="External"/><Relationship Id="rId20" Type="http://schemas.openxmlformats.org/officeDocument/2006/relationships/hyperlink" Target="06-&#29992;&#25143;&#20351;&#29992;&#35828;&#26126;&#20070;.docx" TargetMode="External"/><Relationship Id="rId21" Type="http://schemas.openxmlformats.org/officeDocument/2006/relationships/hyperlink" Target="07-&#36719;&#20214;&#35774;&#35745;&#27169;&#24335;&#31995;&#32479;&#21270;&#23398;&#20064;&#36164;&#26009;.docx" TargetMode="External"/><Relationship Id="rId22" Type="http://schemas.openxmlformats.org/officeDocument/2006/relationships/hyperlink" Target="08-&#24320;&#28304;&#32452;&#20214;&#20351;&#29992;&#19982;&#21512;&#35268;&#35828;&#26126;.docx" TargetMode="External"/><Relationship Id="rId23" Type="http://schemas.openxmlformats.org/officeDocument/2006/relationships/hyperlink" Target="09-AI&#24037;&#20855;&#20351;&#29992;&#19982;AI&#36741;&#21161;&#24320;&#21457;&#27969;&#31243;&#35828;&#26126;.docx" TargetMode="External"/><Relationship Id="rId24" Type="http://schemas.openxmlformats.org/officeDocument/2006/relationships/hyperlink" Target="10-&#20135;&#21697;&#21019;&#26032;&#19982;&#35774;&#35745;&#20915;&#31574;&#20840;&#35760;&#24405;.docx" TargetMode="External"/><Relationship Id="rId2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参赛提交文档索引</dc:title>
  <dc:subject>2026 年软件杯 · A3 组</dc:subject>
  <dc:creator/>
  <cp:keywords>AXIOM Space, 软件杯, A3, 给春稗以秋实, 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