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2810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-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200"/>
        <w:jc w:val="center"/>
      </w:pPr>
      <w:r>
        <w:rPr>
          <w:rFonts w:ascii="Microsoft YaHei" w:hAnsi="Microsoft YaHei" w:eastAsia="微软雅黑" w:cs="Microsoft YaHei"/>
          <w:b/>
          <w:caps/>
          <w:color w:val="D6A64B"/>
          <w:sz w:val="23"/>
        </w:rPr>
        <w:t>2026 年软件杯 · A3 组</w:t>
      </w:r>
    </w:p>
    <w:p>
      <w:pPr>
        <w:spacing w:before="0" w:after="160"/>
        <w:jc w:val="center"/>
      </w:pPr>
      <w:r>
        <w:rPr>
          <w:rFonts w:ascii="Microsoft YaHei" w:hAnsi="Microsoft YaHei" w:eastAsia="微软雅黑" w:cs="Microsoft YaHei"/>
          <w:b/>
          <w:color w:val="10243E"/>
          <w:sz w:val="55"/>
        </w:rPr>
        <w:t>开源组件使用与合规说明</w:t>
      </w:r>
    </w:p>
    <w:p>
      <w:pPr>
        <w:spacing w:after="360"/>
        <w:jc w:val="center"/>
      </w:pPr>
      <w:r>
        <w:rPr>
          <w:rFonts w:ascii="Microsoft YaHei" w:hAnsi="Microsoft YaHei" w:eastAsia="微软雅黑" w:cs="Microsoft YaHei"/>
          <w:i/>
          <w:color w:val="657487"/>
          <w:sz w:val="22"/>
        </w:rPr>
        <w:t>Open-source Components &amp; Compliance</w:t>
      </w:r>
    </w:p>
    <w:p>
      <w:pPr>
        <w:spacing w:after="400"/>
        <w:ind w:left="680" w:right="680"/>
        <w:jc w:val="center"/>
      </w:pPr>
      <w:r>
        <w:rPr>
          <w:rFonts w:ascii="Microsoft YaHei" w:hAnsi="Microsoft YaHei" w:eastAsia="微软雅黑" w:cs="Microsoft YaHei"/>
          <w:color w:val="172235"/>
          <w:sz w:val="21"/>
        </w:rPr>
        <w:t>披露第三方软件、容器、模型、用途、许可证义务与团队自研边界。</w:t>
      </w:r>
    </w:p>
    <w:p>
      <w:pPr>
        <w:spacing w:after="280"/>
        <w:jc w:val="center"/>
        <w:pBdr>
          <w:bottom w:val="single" w:sz="18" w:space="4" w:color="D6A64B"/>
        </w:pBdr>
      </w:pP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项目：AXIOM Space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/>
          <w:color w:val="657487"/>
          <w:sz w:val="19"/>
        </w:rPr>
        <w:t>参赛队伍：给春稗以秋实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文档编号：08</w:t>
      </w:r>
    </w:p>
    <w:p>
      <w:pPr>
        <w:spacing w:after="60"/>
        <w:jc w:val="center"/>
      </w:pPr>
      <w:r>
        <w:rPr>
          <w:rFonts w:ascii="Microsoft YaHei" w:hAnsi="Microsoft YaHei" w:eastAsia="微软雅黑" w:cs="Microsoft YaHei"/>
          <w:b w:val="0"/>
          <w:color w:val="657487"/>
          <w:sz w:val="19"/>
        </w:rPr>
        <w:t>版本：提交版 · 2026.07</w:t>
      </w:r>
    </w:p>
    <w:p>
      <w:pPr>
        <w:sectPr>
          <w:headerReference w:type="default" r:id="rId9"/>
          <w:footerReference w:type="default" r:id="rId10"/>
          <w:pgSz w:w="11906" w:h="16838"/>
          <w:pgMar w:top="907" w:right="1134" w:bottom="907" w:left="1134" w:header="567" w:footer="567" w:gutter="0"/>
          <w:cols w:space="720"/>
          <w:docGrid w:linePitch="360"/>
        </w:sectPr>
      </w:pPr>
    </w:p>
    <w:p>
      <w:pPr>
        <w:spacing w:after="0"/>
      </w:pPr>
      <w:bookmarkStart w:id="1" w:name="AXIOM_TOP"/>
      <w:bookmarkEnd w:id="1"/>
    </w:p>
    <w:p>
      <w:pPr>
        <w:spacing w:before="160" w:after="80"/>
      </w:pPr>
      <w:r>
        <w:rPr>
          <w:rFonts w:ascii="Microsoft YaHei" w:hAnsi="Microsoft YaHei" w:eastAsia="微软雅黑" w:cs="Microsoft YaHei"/>
          <w:b/>
          <w:color w:val="D6A64B"/>
          <w:sz w:val="18"/>
        </w:rPr>
        <w:t>DOCUMENT 08  /  REVIEWER GUIDE</w:t>
      </w:r>
    </w:p>
    <w:p>
      <w:pPr>
        <w:spacing w:after="160"/>
      </w:pPr>
      <w:r>
        <w:rPr>
          <w:rFonts w:ascii="Microsoft YaHei" w:hAnsi="Microsoft YaHei" w:eastAsia="微软雅黑" w:cs="Microsoft YaHei"/>
          <w:b/>
          <w:color w:val="10243E"/>
          <w:sz w:val="44"/>
        </w:rPr>
        <w:t>文档导读</w:t>
      </w: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Microsoft YaHei" w:hAnsi="Microsoft YaHei" w:eastAsia="微软雅黑" w:cs="Microsoft YaHei"/>
          <w:b/>
          <w:color w:val="0F756D"/>
          <w:sz w:val="21"/>
        </w:rPr>
        <w:t xml:space="preserve">本册职责　</w:t>
      </w:r>
      <w:r>
        <w:rPr>
          <w:rFonts w:ascii="Arial" w:hAnsi="Arial" w:eastAsia="宋体" w:cs="Arial"/>
          <w:color w:val="172235"/>
          <w:sz w:val="21"/>
        </w:rPr>
        <w:t>披露第三方软件、容器、模型、用途、许可证义务与团队自研边界。</w:t>
      </w:r>
    </w:p>
    <w:p>
      <w:pPr>
        <w:spacing w:before="160" w:after="100"/>
      </w:pPr>
      <w:r>
        <w:rPr>
          <w:rFonts w:ascii="Microsoft YaHei" w:hAnsi="Microsoft YaHei" w:eastAsia="微软雅黑" w:cs="Microsoft YaHei"/>
          <w:b/>
          <w:color w:val="10243E"/>
          <w:sz w:val="22"/>
        </w:rPr>
        <w:t>文档信息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文档编号：08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文档性质：第三方软件清单、使用边界与许可证合规记录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审计基线：2026-07-19 当前工作区、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pnpm-lock.yaml</w:t>
      </w:r>
      <w:r>
        <w:rPr>
          <w:rFonts w:ascii="Arial" w:hAnsi="Arial" w:eastAsia="宋体" w:cs="Arial"/>
          <w:b w:val="0"/>
          <w:i w:val="0"/>
        </w:rPr>
        <w:t xml:space="preserve">、本机安装清单与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docker-compose.yml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适用范围：AXIOM Space 参赛交付、演示环境及后续发布准备</w:t>
      </w:r>
    </w:p>
    <w:p>
      <w:pPr>
        <w:spacing w:after="40" w:line="276" w:lineRule="auto"/>
        <w:ind w:left="170"/>
      </w:pPr>
      <w:r>
        <w:rPr>
          <w:rFonts w:ascii="Arial" w:hAnsi="Arial" w:eastAsia="宋体" w:cs="Arial"/>
          <w:b w:val="0"/>
          <w:i w:val="0"/>
        </w:rPr>
        <w:t>重要说明：本文是工程合规记录，不替代正式法律意见</w:t>
      </w:r>
    </w:p>
    <w:p>
      <w:bookmarkStart w:id="2" w:name="AXIOM_TOC"/>
      <w:pPr>
        <w:spacing w:before="240" w:after="80"/>
      </w:pPr>
      <w:bookmarkEnd w:id="2"/>
      <w:r>
        <w:rPr>
          <w:rFonts w:ascii="Microsoft YaHei" w:hAnsi="Microsoft YaHei" w:eastAsia="微软雅黑" w:cs="Microsoft YaHei"/>
          <w:b/>
          <w:color w:val="10243E"/>
          <w:sz w:val="33"/>
        </w:rPr>
        <w:t>目录</w:t>
      </w:r>
    </w:p>
    <w:p>
      <w:pPr>
        <w:spacing w:after="140"/>
      </w:pPr>
      <w:r>
        <w:rPr>
          <w:rFonts w:ascii="Microsoft YaHei" w:hAnsi="Microsoft YaHei" w:eastAsia="微软雅黑" w:cs="Microsoft YaHei"/>
          <w:color w:val="657487"/>
          <w:sz w:val="17"/>
        </w:rPr>
        <w:t>Word 中可点击条目直接跳转；目录层级与正文书签保持一致。</w:t>
      </w:r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01  </w:t>
      </w:r>
      <w:hyperlink w:anchor="AXH_1_ec4271d2" w:history="1">
        <w:r>
          <w:rPr>
            <w:rFonts w:ascii="Microsoft YaHei" w:hAnsi="Microsoft YaHei" w:eastAsia="微软雅黑"/>
            <w:color w:val="10243E"/>
            <w:b/>
            <w:u w:val="none"/>
          </w:rPr>
          <w:t>合规结论与使用边界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02  </w:t>
      </w:r>
      <w:hyperlink w:anchor="AXH_2_677cf37b" w:history="1">
        <w:r>
          <w:rPr>
            <w:rFonts w:ascii="Microsoft YaHei" w:hAnsi="Microsoft YaHei" w:eastAsia="微软雅黑"/>
            <w:color w:val="10243E"/>
            <w:b/>
            <w:u w:val="none"/>
          </w:rPr>
          <w:t>1. 文档目的与职责边界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03  </w:t>
      </w:r>
      <w:hyperlink w:anchor="AXH_3_af7e2571" w:history="1">
        <w:r>
          <w:rPr>
            <w:rFonts w:ascii="Microsoft YaHei" w:hAnsi="Microsoft YaHei" w:eastAsia="微软雅黑"/>
            <w:color w:val="10243E"/>
            <w:b/>
            <w:u w:val="none"/>
          </w:rPr>
          <w:t>2. 审计范围、方法与证据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04  </w:t>
      </w:r>
      <w:hyperlink w:anchor="AXH_7_2cdca8cd" w:history="1">
        <w:r>
          <w:rPr>
            <w:rFonts w:ascii="Microsoft YaHei" w:hAnsi="Microsoft YaHei" w:eastAsia="微软雅黑"/>
            <w:color w:val="10243E"/>
            <w:b/>
            <w:u w:val="none"/>
          </w:rPr>
          <w:t>3. 自研成果与第三方成果边界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05  </w:t>
      </w:r>
      <w:hyperlink w:anchor="AXH_11_ad542123" w:history="1">
        <w:r>
          <w:rPr>
            <w:rFonts w:ascii="Microsoft YaHei" w:hAnsi="Microsoft YaHei" w:eastAsia="微软雅黑"/>
            <w:color w:val="10243E"/>
            <w:b/>
            <w:u w:val="none"/>
          </w:rPr>
          <w:t>4. 关键第三方能力总览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06  </w:t>
      </w:r>
      <w:hyperlink w:anchor="AXH_12_b57c5827" w:history="1">
        <w:r>
          <w:rPr>
            <w:rFonts w:ascii="Microsoft YaHei" w:hAnsi="Microsoft YaHei" w:eastAsia="微软雅黑"/>
            <w:color w:val="10243E"/>
            <w:b/>
            <w:u w:val="none"/>
          </w:rPr>
          <w:t>5. 直接运行依赖完整清单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07  </w:t>
      </w:r>
      <w:hyperlink w:anchor="AXH_18_fa343195" w:history="1">
        <w:r>
          <w:rPr>
            <w:rFonts w:ascii="Microsoft YaHei" w:hAnsi="Microsoft YaHei" w:eastAsia="微软雅黑"/>
            <w:color w:val="10243E"/>
            <w:b/>
            <w:u w:val="none"/>
          </w:rPr>
          <w:t>6. 直接开发依赖完整清单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08  </w:t>
      </w:r>
      <w:hyperlink w:anchor="AXH_19_751fb0e5" w:history="1">
        <w:r>
          <w:rPr>
            <w:rFonts w:ascii="Microsoft YaHei" w:hAnsi="Microsoft YaHei" w:eastAsia="微软雅黑"/>
            <w:color w:val="10243E"/>
            <w:b/>
            <w:u w:val="none"/>
          </w:rPr>
          <w:t>7. 容器、服务与模型清单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09  </w:t>
      </w:r>
      <w:hyperlink w:anchor="AXH_21_d03fc29b" w:history="1">
        <w:r>
          <w:rPr>
            <w:rFonts w:ascii="Microsoft YaHei" w:hAnsi="Microsoft YaHei" w:eastAsia="微软雅黑"/>
            <w:color w:val="10243E"/>
            <w:b/>
            <w:u w:val="none"/>
          </w:rPr>
          <w:t>8. 间接依赖扫描与异常项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10  </w:t>
      </w:r>
      <w:hyperlink w:anchor="AXH_25_2ef7d466" w:history="1">
        <w:r>
          <w:rPr>
            <w:rFonts w:ascii="Microsoft YaHei" w:hAnsi="Microsoft YaHei" w:eastAsia="微软雅黑"/>
            <w:color w:val="10243E"/>
            <w:b/>
            <w:u w:val="none"/>
          </w:rPr>
          <w:t>9. 主要许可证义务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11  </w:t>
      </w:r>
      <w:hyperlink w:anchor="AXH_31_26ee3389" w:history="1">
        <w:r>
          <w:rPr>
            <w:rFonts w:ascii="Microsoft YaHei" w:hAnsi="Microsoft YaHei" w:eastAsia="微软雅黑"/>
            <w:color w:val="10243E"/>
            <w:b/>
            <w:u w:val="none"/>
          </w:rPr>
          <w:t>10. 特殊风险与处置决策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12  </w:t>
      </w:r>
      <w:hyperlink w:anchor="AXH_37_24a55020" w:history="1">
        <w:r>
          <w:rPr>
            <w:rFonts w:ascii="Microsoft YaHei" w:hAnsi="Microsoft YaHei" w:eastAsia="微软雅黑"/>
            <w:color w:val="10243E"/>
            <w:b/>
            <w:u w:val="none"/>
          </w:rPr>
          <w:t>11. 第三方声明与发布物组织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13  </w:t>
      </w:r>
      <w:hyperlink w:anchor="AXH_41_bfa8c559" w:history="1">
        <w:r>
          <w:rPr>
            <w:rFonts w:ascii="Microsoft YaHei" w:hAnsi="Microsoft YaHei" w:eastAsia="微软雅黑"/>
            <w:color w:val="10243E"/>
            <w:b/>
            <w:u w:val="none"/>
          </w:rPr>
          <w:t>12. 开发、提交与发布流程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14  </w:t>
      </w:r>
      <w:hyperlink w:anchor="AXH_45_d858e7e5" w:history="1">
        <w:r>
          <w:rPr>
            <w:rFonts w:ascii="Microsoft YaHei" w:hAnsi="Microsoft YaHei" w:eastAsia="微软雅黑"/>
            <w:color w:val="10243E"/>
            <w:b/>
            <w:u w:val="none"/>
          </w:rPr>
          <w:t>13. 公开发行合规基线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15  </w:t>
      </w:r>
      <w:hyperlink w:anchor="AXH_46_21321beb" w:history="1">
        <w:r>
          <w:rPr>
            <w:rFonts w:ascii="Microsoft YaHei" w:hAnsi="Microsoft YaHei" w:eastAsia="微软雅黑"/>
            <w:color w:val="10243E"/>
            <w:b/>
            <w:u w:val="none"/>
          </w:rPr>
          <w:t>14. 复核命令与证据位置</w:t>
        </w:r>
      </w:hyperlink>
    </w:p>
    <w:p>
      <w:pPr>
        <w:keepLines/>
        <w:spacing w:before="30" w:after="70"/>
        <w:ind w:left="0" w:firstLine="0"/>
        <w:pBdr>
          <w:bottom w:val="single" w:sz="3" w:space="2" w:color="D6DEE6"/>
        </w:pBdr>
      </w:pPr>
      <w:r>
        <w:rPr>
          <w:rFonts w:ascii="Microsoft YaHei" w:hAnsi="Microsoft YaHei" w:eastAsia="微软雅黑" w:cs="Microsoft YaHei"/>
          <w:b/>
          <w:color w:val="D6A64B"/>
          <w:sz w:val="18"/>
        </w:rPr>
        <w:t xml:space="preserve">16  </w:t>
      </w:r>
      <w:hyperlink w:anchor="AXH_49_89b50aaa" w:history="1">
        <w:r>
          <w:rPr>
            <w:rFonts w:ascii="Microsoft YaHei" w:hAnsi="Microsoft YaHei" w:eastAsia="微软雅黑"/>
            <w:color w:val="10243E"/>
            <w:b/>
            <w:u w:val="none"/>
          </w:rPr>
          <w:t>15. 官方核验来源</w:t>
        </w:r>
      </w:hyperlink>
    </w:p>
    <w:p>
      <w:r>
        <w:br w:type="page"/>
      </w:r>
    </w:p>
    <w:p>
      <w:bookmarkStart w:id="101" w:name="AXH_1_ec4271d2"/>
      <w:pPr>
        <w:pStyle w:val="Heading1"/>
        <w:pageBreakBefore w:val="0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合规结论与使用边界</w:t>
      </w:r>
      <w:bookmarkEnd w:id="101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的产品定义、业务流程、多智能体协作、学习画像、卡片语义、评估闭环、知识图谱交互及参赛内容由团队自行设计和实现；项目同时复用了 Web 框架、UI 基础件、数据库 ORM、任务队列、图谱渲染、文档渲染、测试工具和 RAG 基础设施等第三方成果。</w:t>
      </w:r>
      <w:r>
        <w:rPr>
          <w:rFonts w:ascii="Arial" w:hAnsi="Arial" w:eastAsia="宋体" w:cs="Arial"/>
          <w:b/>
          <w:i w:val="0"/>
        </w:rPr>
        <w:t>使用开源组件不等于把第三方项目冒充为自研，也不等于项目自身已经开源。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本次审计结论：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4"/>
        <w:gridCol w:w="3623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核验项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当前事实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NPM 直接运行依赖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60 个；52 MIT、3 Apache-2.0、2 BSD-3-Clause、1 BSD-2-Clause、1 ISC、1 GSAP 专用许可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主体为宽松许可证，但 GSAP 不能写成“MIT 开源组件”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NPM 直接开发依赖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20 个；16 MIT、3 Apache-2.0、1 BSD-3-Clause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可用于开发测试；发布包仍需按实际打包内容核验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完整依赖树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本机扫描到 MIT、Apache-2.0、BSD、ISC、MPL-2.0、CC-BY-4.0 等；1 个包元数据标为 Unknown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khroma@2.1.0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随包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文件实际为 MIT，仍应在自动清单中修正记录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容器服务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PostgreSQL、Redis、Qdrant、Ollama、LightRAG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版本、许可证分界与固定策略已逐项登记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模型权重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默认本地嵌入模型为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bge-m3:latest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模型许可证独立于 Ollama 软件，需单独保留模型卡与版本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项目自身许可证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根目录未声明公共开源许可证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自研代码版权由团队保留；参赛提交不自动授予公众复制、修改与再分发权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第三方集中披露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本说明书提供直接依赖、容器、模型、用途与许可证记录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参赛阶段集中披露已形成；公开发行包按实际产物生成随包声明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浮动版本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redis:7-alpine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ollama/ollama:latest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ghcr.io/hkuds/lightrag:latest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bge-m3:latest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已纳入公开发行版本固定与摘要复核清单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/>
          <w:i w:val="0"/>
        </w:rPr>
        <w:t>合规结论：</w:t>
      </w:r>
      <w:r>
        <w:rPr>
          <w:rFonts w:ascii="Arial" w:hAnsi="Arial" w:eastAsia="宋体" w:cs="Arial"/>
          <w:b w:val="0"/>
          <w:i w:val="0"/>
        </w:rPr>
        <w:t xml:space="preserve"> 参赛交付所使用的第三方软件、容器、模型、用途、许可证义务与团队自研边界已在本说明书中集中披露。公开发布源码、镜像或安装包属于独立发行行为，届时按实际产物完成许可证选择、随包声明、版本摘要与素材来源复核。</w:t>
      </w:r>
    </w:p>
    <w:p>
      <w:bookmarkStart w:id="102" w:name="AXH_2_677cf37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1. 文档目的与职责边界</w:t>
      </w:r>
      <w:bookmarkEnd w:id="10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本文档只回答一个问题：</w:t>
      </w:r>
      <w:r>
        <w:rPr>
          <w:rFonts w:ascii="Arial" w:hAnsi="Arial" w:eastAsia="宋体" w:cs="Arial"/>
          <w:b/>
          <w:i w:val="0"/>
        </w:rPr>
        <w:t>AXIOM Space 复用了哪些第三方软件、模型和基础设施，分别承担什么作用，团队应履行哪些许可证与披露责任。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本文档负责：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列出直接运行依赖和开发依赖的实际安装版本；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说明各类开源组件在项目中的用途，而不是只复制包名；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区分开源许可证、专用免费许可、模型许可和云 API 服务条款；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标记浮动版本、未知许可证、声明文件缺失等发布风险；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定义从引入依赖到最终分发的合规检查流程；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Arial" w:hAnsi="Arial" w:eastAsia="宋体" w:cs="Arial"/>
          <w:b w:val="0"/>
          <w:i w:val="0"/>
        </w:rPr>
        <w:t>向评审呈现团队在哪些基础设施上进行了二次设计和系统集成。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本文档不负责：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不解释 AI 工具怎样参与开发，相关内容见《09-AI 工具使用与 AI 辅助开发流程说明》；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不解释系统架构和业务实现，相关内容见《03-系统设计与开发说明书》；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不把 API 付费服务称为开源组件；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不对许可证作超出官方文本的法律承诺；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Arial" w:hAnsi="Arial" w:eastAsia="宋体" w:cs="Arial"/>
          <w:b w:val="0"/>
          <w:i w:val="0"/>
        </w:rPr>
        <w:t>不替团队自动决定 AXIOM Space 自研代码最终采用何种许可证。</w:t>
      </w:r>
    </w:p>
    <w:p>
      <w:bookmarkStart w:id="103" w:name="AXH_3_af7e2571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2. 审计范围、方法与证据</w:t>
      </w:r>
      <w:bookmarkEnd w:id="103"/>
    </w:p>
    <w:p>
      <w:bookmarkStart w:id="104" w:name="AXH_4_e813ad9b"/>
      <w:pPr>
        <w:pStyle w:val="Heading2"/>
      </w:pPr>
      <w:r>
        <w:rPr>
          <w:rFonts w:ascii="Arial" w:hAnsi="Arial" w:eastAsia="宋体" w:cs="Arial"/>
          <w:b/>
          <w:i w:val="0"/>
        </w:rPr>
        <w:t>2.1 审计范围</w:t>
      </w:r>
      <w:bookmarkEnd w:id="10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本次清单覆盖：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中 60 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dependencies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中 20 个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devDependencies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pnpm-lock.yaml</w:t>
      </w:r>
      <w:r>
        <w:rPr>
          <w:rFonts w:ascii="Arial" w:hAnsi="Arial" w:eastAsia="宋体" w:cs="Arial"/>
          <w:b w:val="0"/>
          <w:i w:val="0"/>
        </w:rPr>
        <w:t xml:space="preserve"> 锁定的间接依赖树；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docker-compose.yml</w:t>
      </w:r>
      <w:r>
        <w:rPr>
          <w:rFonts w:ascii="Arial" w:hAnsi="Arial" w:eastAsia="宋体" w:cs="Arial"/>
          <w:b w:val="0"/>
          <w:i w:val="0"/>
        </w:rPr>
        <w:t xml:space="preserve"> 中 5 个容器服务；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.env.example</w:t>
      </w:r>
      <w:r>
        <w:rPr>
          <w:rFonts w:ascii="Arial" w:hAnsi="Arial" w:eastAsia="宋体" w:cs="Arial"/>
          <w:b w:val="0"/>
          <w:i w:val="0"/>
        </w:rPr>
        <w:t xml:space="preserve"> 和启动脚本中声明的本地嵌入模型；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</w:t>
      </w:r>
      <w:r>
        <w:rPr>
          <w:rFonts w:ascii="Arial" w:hAnsi="Arial" w:eastAsia="宋体" w:cs="Arial"/>
          <w:b w:val="0"/>
          <w:i w:val="0"/>
        </w:rPr>
        <w:t xml:space="preserve"> 中随应用分发的静态资产；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Arial" w:hAnsi="Arial" w:eastAsia="宋体" w:cs="Arial"/>
          <w:b w:val="0"/>
          <w:i w:val="0"/>
        </w:rPr>
        <w:t xml:space="preserve">当前仓库是否存在项目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、第三方声明或上游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NOTICE</w:t>
      </w:r>
      <w:r>
        <w:rPr>
          <w:rFonts w:ascii="Arial" w:hAnsi="Arial" w:eastAsia="宋体" w:cs="Arial"/>
          <w:b w:val="0"/>
          <w:i w:val="0"/>
        </w:rPr>
        <w:t xml:space="preserve"> 汇总。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不在本次自动扫描范围内、但发布前必须另行核验：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现场填写的商业 AI API 密钥及其服务条款；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用户自行上传的课程资料版权；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AI 生成资源中可能出现的第三方文本、图片、代码或引用；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Docker 基础镜像中操作系统层的全部软件包；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比赛演示视频、PPT、配乐、截图中额外使用的素材；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Arial" w:hAnsi="Arial" w:eastAsia="宋体" w:cs="Arial"/>
          <w:b w:val="0"/>
          <w:i w:val="0"/>
        </w:rPr>
        <w:t>未来新增而尚未进入锁文件的依赖。</w:t>
      </w:r>
    </w:p>
    <w:p>
      <w:bookmarkStart w:id="105" w:name="AXH_5_a622f87a"/>
      <w:pPr>
        <w:pStyle w:val="Heading2"/>
      </w:pPr>
      <w:r>
        <w:rPr>
          <w:rFonts w:ascii="Arial" w:hAnsi="Arial" w:eastAsia="宋体" w:cs="Arial"/>
          <w:b/>
          <w:i w:val="0"/>
        </w:rPr>
        <w:t>2.2 审计方法</w:t>
      </w:r>
      <w:bookmarkEnd w:id="10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3023"/>
        <w:gridCol w:w="2994"/>
        <w:gridCol w:w="3274"/>
      </w:tblGrid>
      <w:tr>
        <w:trPr>
          <w:tblHeader w:val="true"/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证据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用途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局限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package.json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确定直接依赖及声明版本范围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不是最终安装版本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node_modules/&lt;pkg&gt;/package.json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获取当前已安装版本和许可证元数据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元数据可能缺失或写错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随包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/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NOTICE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复核实际条款和版权声明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需逐包保留，不能只记 SPDX 名称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 licenses list --json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扫描完整安装依赖树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可能把缺少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字段的包标为 Unknown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pnpm-lock.yaml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锁定可复现版本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不替代许可证正文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官方项目许可证页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复核容器与模型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标签仍会漂移</w:t>
            </w:r>
          </w:p>
        </w:tc>
      </w:tr>
      <w:tr>
        <w:trPr>
          <w:cantSplit w:val="true"/>
        </w:trPr>
        <w:tc>
          <w:tcPr>
            <w:tcW w:type="dxa" w:w="30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源码搜索</w:t>
            </w:r>
          </w:p>
        </w:tc>
        <w:tc>
          <w:tcPr>
            <w:tcW w:type="dxa" w:w="2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确认组件实际用途</w:t>
            </w:r>
          </w:p>
        </w:tc>
        <w:tc>
          <w:tcPr>
            <w:tcW w:type="dxa" w:w="32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动态加载或构建期行为仍需人工复核</w:t>
            </w:r>
          </w:p>
        </w:tc>
      </w:tr>
    </w:tbl>
    <w:p>
      <w:pPr>
        <w:spacing w:after="40"/>
      </w:pPr>
    </w:p>
    <w:p>
      <w:bookmarkStart w:id="106" w:name="AXH_6_23f0f090"/>
      <w:pPr>
        <w:pStyle w:val="Heading2"/>
      </w:pPr>
      <w:r>
        <w:rPr>
          <w:rFonts w:ascii="Arial" w:hAnsi="Arial" w:eastAsia="宋体" w:cs="Arial"/>
          <w:b/>
          <w:i w:val="0"/>
        </w:rPr>
        <w:t>2.3 版本口径</w:t>
      </w:r>
      <w:bookmarkEnd w:id="10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下表同时区分：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声明版本：</w:t>
      </w:r>
      <w:r>
        <w:rPr>
          <w:rFonts w:ascii="Arial" w:hAnsi="Arial" w:eastAsia="宋体" w:cs="Arial"/>
          <w:b w:val="0"/>
          <w:i w:val="0"/>
        </w:rPr>
        <w:t xml:space="preserve">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中团队允许安装的范围；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实际版本：</w:t>
      </w:r>
      <w:r>
        <w:rPr>
          <w:rFonts w:ascii="Arial" w:hAnsi="Arial" w:eastAsia="宋体" w:cs="Arial"/>
          <w:b w:val="0"/>
          <w:i w:val="0"/>
        </w:rPr>
        <w:t xml:space="preserve"> 本次审计机器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node_modules</w:t>
      </w:r>
      <w:r>
        <w:rPr>
          <w:rFonts w:ascii="Arial" w:hAnsi="Arial" w:eastAsia="宋体" w:cs="Arial"/>
          <w:b w:val="0"/>
          <w:i w:val="0"/>
        </w:rPr>
        <w:t xml:space="preserve"> 中安装的版本；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Arial" w:hAnsi="Arial" w:eastAsia="宋体" w:cs="Arial"/>
          <w:b/>
          <w:i w:val="0"/>
        </w:rPr>
        <w:t>发行版本：</w:t>
      </w:r>
      <w:r>
        <w:rPr>
          <w:rFonts w:ascii="Arial" w:hAnsi="Arial" w:eastAsia="宋体" w:cs="Arial"/>
          <w:b w:val="0"/>
          <w:i w:val="0"/>
        </w:rPr>
        <w:t xml:space="preserve"> 最终提交或发布时必须由锁文件、镜像摘要和构建产物再次确认。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本文清单不能永久替代自动扫描；任何依赖更新都可能改变许可证或 NOTICE 义务。</w:t>
      </w:r>
    </w:p>
    <w:p>
      <w:bookmarkStart w:id="107" w:name="AXH_7_2cdca8cd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3. 自研成果与第三方成果边界</w:t>
      </w:r>
      <w:bookmarkEnd w:id="107"/>
    </w:p>
    <w:p>
      <w:bookmarkStart w:id="108" w:name="AXH_8_3e355567"/>
      <w:pPr>
        <w:pStyle w:val="Heading2"/>
      </w:pPr>
      <w:r>
        <w:rPr>
          <w:rFonts w:ascii="Arial" w:hAnsi="Arial" w:eastAsia="宋体" w:cs="Arial"/>
          <w:b/>
          <w:i w:val="0"/>
        </w:rPr>
        <w:t>3.1 团队自研与集成成果</w:t>
      </w:r>
      <w:bookmarkEnd w:id="10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根据项目文档和源码，团队主要负责：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面向大学生的学习需求分析与产品定义；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“输出—证据审核—改变下一步”的学习闭环；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文献卡、灵感卡、永久卡的业务语义；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多智能体角色划分、协作协议、工具边界和状态写回；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动态学习画像、证据时间线、知识缺口和教学策略；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学习路径、掌握评估、补救动作与主动资源建议；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知识图谱十种阅读布局及其交互；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各第三方框架之间的分层、适配、组合、测试和部署；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Arial" w:hAnsi="Arial" w:eastAsia="宋体" w:cs="Arial"/>
          <w:b w:val="0"/>
          <w:i w:val="0"/>
        </w:rPr>
        <w:t>参赛案例、教学材料、提交文档及演示流程。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这些是项目在通用组件之上形成的领域设计和工程实现。</w:t>
      </w:r>
    </w:p>
    <w:p>
      <w:bookmarkStart w:id="109" w:name="AXH_9_a97d4f9d"/>
      <w:pPr>
        <w:pStyle w:val="Heading2"/>
      </w:pPr>
      <w:r>
        <w:rPr>
          <w:rFonts w:ascii="Arial" w:hAnsi="Arial" w:eastAsia="宋体" w:cs="Arial"/>
          <w:b/>
          <w:i w:val="0"/>
        </w:rPr>
        <w:t>3.2 第三方成果</w:t>
      </w:r>
      <w:bookmarkEnd w:id="10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第三方成果包括：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框架、库、CLI、类型声明、浏览器和数据库客户端；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容器镜像及其包含的软件；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开源 RAG、向量数据库和本地模型运行器；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模型权重与模型卡；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Arial" w:hAnsi="Arial" w:eastAsia="宋体" w:cs="Arial"/>
          <w:b w:val="0"/>
          <w:i w:val="0"/>
        </w:rPr>
        <w:t>图标、动画引擎和文档渲染工具。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文档中应使用“基于”“集成”“调用”“适配”“使用”等准确词语，不应把 Next.js、Hono、Prisma、Qdrant、LightRAG、Ollama、GSAP 等项目表述为团队自研。</w:t>
      </w:r>
    </w:p>
    <w:p>
      <w:bookmarkStart w:id="110" w:name="AXH_10_c75d7141"/>
      <w:pPr>
        <w:pStyle w:val="Heading2"/>
      </w:pPr>
      <w:r>
        <w:rPr>
          <w:rFonts w:ascii="Arial" w:hAnsi="Arial" w:eastAsia="宋体" w:cs="Arial"/>
          <w:b/>
          <w:i w:val="0"/>
        </w:rPr>
        <w:t>3.3 项目代码权属与发行策略</w:t>
      </w:r>
      <w:bookmarkEnd w:id="11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当前仓库根目录未声明公共开源许可证。这表示团队保留 AXIOM Space 自研代码的版权与授权决定权，不表示项目缺少权属，也不影响按照赛事规则提交评审材料。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第三方依赖采用 MIT 等许可证，不会自动决定 AXIOM Space 自研代码的许可证；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赛事提交按主办方规则授权评审，不自动等同于向公众授予复制、修改和再分发权；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后续如选择公开源码，由项目负责人确定适用许可证并生成对应授权文件；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Arial" w:hAnsi="Arial" w:eastAsia="宋体" w:cs="Arial"/>
          <w:b w:val="0"/>
          <w:i w:val="0"/>
        </w:rPr>
        <w:t>公开发行前，再按实际源码、构建产物、容器、模型和素材完成兼容性复核。</w:t>
      </w:r>
    </w:p>
    <w:p>
      <w:bookmarkStart w:id="111" w:name="AXH_11_ad542123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4. 关键第三方能力总览</w:t>
      </w:r>
      <w:bookmarkEnd w:id="111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47"/>
        <w:gridCol w:w="2922"/>
        <w:gridCol w:w="2437"/>
        <w:gridCol w:w="2485"/>
      </w:tblGrid>
      <w:tr>
        <w:trPr>
          <w:tblHeader w:val="true"/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能力域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主要组件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在 AXIOM Space 中的用途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团队新增价值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Web 应用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Next.js、React、React DOM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页面、渲染、App Router 与服务端集成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五工作区产品结构和学习交互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API 与契约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Hono、Zod、Hono 验证/OpenAPI 中间件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RPC 路由、输入校验、接口文档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领域路由、错误模型与业务用例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数据与认证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Prisma、PostgreSQL、Better Auth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ORM、持久化、账号和会话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隔离、领域数据模型和权限边界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前端状态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React Query、Zustand、React Hook Form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服务端数据缓存、UI 状态和表单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工作区状态同步和学习流程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UI 基础件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Radix UI、Lucide、Tailwind、CVA、clsx、tailwind-merge、Sonner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无障碍基础组件、图标、样式与提示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AXIOM 视觉系统、复合面板和交互规则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智能体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pi-agent-core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、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pi-ai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工具调用、状态和多供应商模型抽象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双 Agent、学习工具、上下文和安全协议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知识图谱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Three.js、GSAP、Recharts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3D 图谱、动画和统计图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十种布局、掌握/证据/路径语义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内容呈现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Mermaid、Marked、React Markdown、KaTeX、Highlight.js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Markdown、图表、公式和代码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学习内容安全呈现和资源预览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多格式资源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PptxGenJS、html-to-docx、Puppeteer、Archiver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PPTX、DOCX、PDF、视频渲染与打包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六类学习资源的生成编排与质量状态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后台任务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BullMQ、Redis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异步任务、进度与重试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资源生成和导入任务工作流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RAG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Qdrant、Ollama、BGE-M3、LightRAG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向量、嵌入和图增强检索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Vault 作用域、引用回传和降级策略</w:t>
            </w:r>
          </w:p>
        </w:tc>
      </w:tr>
      <w:tr>
        <w:trPr>
          <w:cantSplit w:val="true"/>
        </w:trPr>
        <w:tc>
          <w:tcPr>
            <w:tcW w:type="dxa" w:w="14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测试开发</w:t>
            </w:r>
          </w:p>
        </w:tc>
        <w:tc>
          <w:tcPr>
            <w:tcW w:type="dxa" w:w="292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Playwright、ESLint、TypeScript、tsx</w:t>
            </w:r>
          </w:p>
        </w:tc>
        <w:tc>
          <w:tcPr>
            <w:tcW w:type="dxa" w:w="24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E2E、静态检查和脚本运行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验收契约与项目级测试体系</w:t>
            </w:r>
          </w:p>
        </w:tc>
      </w:tr>
    </w:tbl>
    <w:p>
      <w:pPr>
        <w:spacing w:after="40"/>
      </w:pPr>
    </w:p>
    <w:p>
      <w:bookmarkStart w:id="112" w:name="AXH_12_b57c5827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5. 直接运行依赖完整清单</w:t>
      </w:r>
      <w:bookmarkEnd w:id="11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下表以本机实际安装版本为准；“用途”描述其在本项目中的责任，不代表使用了上游全部能力。</w:t>
      </w:r>
    </w:p>
    <w:p>
      <w:bookmarkStart w:id="113" w:name="AXH_13_47d9c71e"/>
      <w:pPr>
        <w:pStyle w:val="Heading2"/>
      </w:pPr>
      <w:r>
        <w:rPr>
          <w:rFonts w:ascii="Arial" w:hAnsi="Arial" w:eastAsia="宋体" w:cs="Arial"/>
          <w:b/>
          <w:i w:val="0"/>
        </w:rPr>
        <w:t>5.1 API、智能体、数据与任务</w:t>
      </w:r>
      <w:bookmarkEnd w:id="113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286"/>
        <w:gridCol w:w="1515"/>
        <w:gridCol w:w="1459"/>
        <w:gridCol w:w="1533"/>
        <w:gridCol w:w="2498"/>
      </w:tblGrid>
      <w:tr>
        <w:trPr>
          <w:tblHeader w:val="true"/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@hono/swagger-ui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^0.4.1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0.4.1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文档界面中间件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@hono/zod-openapi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^1.2.4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1.4.0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从 Zod 契约生成 OpenAPI 信息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@hono/zod-validator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^0.7.6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0.7.6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Hono 请求参数校验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@mariozechner/pi-agent-core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^0.73.1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0.73.1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Agent 状态、工具调用和运行时基础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@mariozechner/pi-ai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^0.73.1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0.73.1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多模型供应商统一调用抽象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@prisma/client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^6.0.0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6.19.3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类型安全数据库客户端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better-auth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^1.5.6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1.6.16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用户认证与会话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bullmq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^5.78.0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5.78.0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Redis 后台任务队列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dotenv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^17.4.2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17.4.2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BSD-2-Clause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环境变量加载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events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^3.3.0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3.3.0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Node 风格事件机制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global-agent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^4.1.3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4.1.3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BSD-3-Clause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全局代理网络适配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hono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^4.6.2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4.12.25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API 框架和 RPC 类型推导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https-proxy-agent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^9.0.0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9.1.0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HTTPS 代理连接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ky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^1.7.2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1.14.3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轻量 HTTP 客户端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nanoid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3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3.3.12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短 ID 生成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undici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^7.25.0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7.27.2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Node HTTP 客户端能力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uuid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^14.0.0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14.0.0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UUID 生成与处理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ws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^8.21.0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8.21.0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WebSocket 通信</w:t>
            </w:r>
          </w:p>
        </w:tc>
      </w:tr>
      <w:tr>
        <w:trPr>
          <w:cantSplit w:val="true"/>
        </w:trPr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zod</w:t>
            </w:r>
          </w:p>
        </w:tc>
        <w:tc>
          <w:tcPr>
            <w:tcW w:type="dxa" w:w="1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^4.3.6</w:t>
            </w:r>
          </w:p>
        </w:tc>
        <w:tc>
          <w:tcPr>
            <w:tcW w:type="dxa" w:w="14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4.4.3</w:t>
            </w:r>
          </w:p>
        </w:tc>
        <w:tc>
          <w:tcPr>
            <w:tcW w:type="dxa" w:w="153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9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运行时数据校验和类型契约</w:t>
            </w:r>
          </w:p>
        </w:tc>
      </w:tr>
    </w:tbl>
    <w:p>
      <w:pPr>
        <w:spacing w:after="40"/>
      </w:pPr>
    </w:p>
    <w:p>
      <w:bookmarkStart w:id="114" w:name="AXH_14_3eee0f0c"/>
      <w:pPr>
        <w:pStyle w:val="Heading2"/>
      </w:pPr>
      <w:r>
        <w:rPr>
          <w:rFonts w:ascii="Arial" w:hAnsi="Arial" w:eastAsia="宋体" w:cs="Arial"/>
          <w:b/>
          <w:i w:val="0"/>
        </w:rPr>
        <w:t>5.2 Web、状态与表单</w:t>
      </w:r>
      <w:bookmarkEnd w:id="114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168"/>
        <w:gridCol w:w="1664"/>
        <w:gridCol w:w="1632"/>
        <w:gridCol w:w="1324"/>
        <w:gridCol w:w="2503"/>
      </w:tblGrid>
      <w:tr>
        <w:trPr>
          <w:tblHeader w:val="true"/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@hookform/resolvers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^5.2.2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5.4.0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表单与 Zod 等验证器连接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@tanstack/react-query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^5.56.2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5.101.0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服务端数据获取、缓存与失效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next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14.2.5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14.2.5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Web 应用框架与 App Router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next-themes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^0.4.4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0.4.6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主题状态管理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18.2.0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18.2.0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UI 组件模型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react-dom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18.2.0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18.2.0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浏览器渲染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react-hook-form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^7.72.0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7.78.0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表单状态和校验</w:t>
            </w:r>
          </w:p>
        </w:tc>
      </w:tr>
      <w:tr>
        <w:trPr>
          <w:cantSplit w:val="true"/>
        </w:trPr>
        <w:tc>
          <w:tcPr>
            <w:tcW w:type="dxa" w:w="2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zustand</w:t>
            </w:r>
          </w:p>
        </w:tc>
        <w:tc>
          <w:tcPr>
            <w:tcW w:type="dxa" w:w="1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^5.0.13</w:t>
            </w:r>
          </w:p>
        </w:tc>
        <w:tc>
          <w:tcPr>
            <w:tcW w:type="dxa" w:w="1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5.0.14</w:t>
            </w:r>
          </w:p>
        </w:tc>
        <w:tc>
          <w:tcPr>
            <w:tcW w:type="dxa" w:w="13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全局 UI 状态管理</w:t>
            </w:r>
          </w:p>
        </w:tc>
      </w:tr>
    </w:tbl>
    <w:p>
      <w:pPr>
        <w:spacing w:after="40"/>
      </w:pPr>
    </w:p>
    <w:p>
      <w:bookmarkStart w:id="115" w:name="AXH_15_fec81b16"/>
      <w:pPr>
        <w:pStyle w:val="Heading2"/>
      </w:pPr>
      <w:r>
        <w:rPr>
          <w:rFonts w:ascii="Arial" w:hAnsi="Arial" w:eastAsia="宋体" w:cs="Arial"/>
          <w:b/>
          <w:i w:val="0"/>
        </w:rPr>
        <w:t>5.3 UI、样式、图标与提示</w:t>
      </w:r>
      <w:bookmarkEnd w:id="115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714"/>
        <w:gridCol w:w="1523"/>
        <w:gridCol w:w="1513"/>
        <w:gridCol w:w="1403"/>
        <w:gridCol w:w="2138"/>
      </w:tblGrid>
      <w:tr>
        <w:trPr>
          <w:tblHeader w:val="true"/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@radix-ui/react-checkbox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1.3.4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复选框基础件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@radix-ui/react-dialog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1.1.16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对话框基础件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@radix-ui/react-dropdown-menu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2.1.17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下拉菜单基础件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@radix-ui/react-label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2.1.9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表单标签基础件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@radix-ui/react-popover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1.1.16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浮层基础件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@radix-ui/react-select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2.3.0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选择器基础件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@radix-ui/react-separator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1.1.9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分隔线基础件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@radix-ui/react-slot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1.2.5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组件组合 Slot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@radix-ui/react-switch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1.3.0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开关基础件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@radix-ui/react-tabs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1.1.14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标签页基础件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@radix-ui/react-toast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^1.2.2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1.2.16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Toast 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@radix-ui/react-tooltip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^1.1.4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1.2.9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工具提示基础件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class-variance-authority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^0.7.1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0.7.1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组件样式变体管理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clsx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^2.1.1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2.1.1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条件类名组合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lucide-react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^1.7.0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1.17.0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ISC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图标库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sonner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^1.5.0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1.7.4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操作反馈通知</w:t>
            </w:r>
          </w:p>
        </w:tc>
      </w:tr>
      <w:tr>
        <w:trPr>
          <w:cantSplit w:val="true"/>
        </w:trPr>
        <w:tc>
          <w:tcPr>
            <w:tcW w:type="dxa" w:w="2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tailwind-merge</w:t>
            </w:r>
          </w:p>
        </w:tc>
        <w:tc>
          <w:tcPr>
            <w:tcW w:type="dxa" w:w="15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^3.5.0</w:t>
            </w:r>
          </w:p>
        </w:tc>
        <w:tc>
          <w:tcPr>
            <w:tcW w:type="dxa" w:w="15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3.6.0</w:t>
            </w:r>
          </w:p>
        </w:tc>
        <w:tc>
          <w:tcPr>
            <w:tcW w:type="dxa" w:w="14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1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Tailwind 类名冲突合并</w:t>
            </w:r>
          </w:p>
        </w:tc>
      </w:tr>
    </w:tbl>
    <w:p>
      <w:pPr>
        <w:spacing w:after="40"/>
      </w:pPr>
    </w:p>
    <w:p>
      <w:bookmarkStart w:id="116" w:name="AXH_16_6f3c2f2a"/>
      <w:pPr>
        <w:pStyle w:val="Heading2"/>
      </w:pPr>
      <w:r>
        <w:rPr>
          <w:rFonts w:ascii="Arial" w:hAnsi="Arial" w:eastAsia="宋体" w:cs="Arial"/>
          <w:b/>
          <w:i w:val="0"/>
        </w:rPr>
        <w:t>5.4 图谱、图表与动画</w:t>
      </w:r>
      <w:bookmarkEnd w:id="116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482"/>
        <w:gridCol w:w="1637"/>
        <w:gridCol w:w="1586"/>
        <w:gridCol w:w="2154"/>
        <w:gridCol w:w="2432"/>
      </w:tblGrid>
      <w:tr>
        <w:trPr>
          <w:tblHeader w:val="true"/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gsap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^3.15.0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3.15.0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GSAP Standard “No Charge” License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知识图谱节点、相机和布局过渡动画</w:t>
            </w:r>
          </w:p>
        </w:tc>
      </w:tr>
      <w:tr>
        <w:trPr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recharts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2.15.4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2.15.4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统计与认知数据图表</w:t>
            </w:r>
          </w:p>
        </w:tc>
      </w:tr>
      <w:tr>
        <w:trPr>
          <w:cantSplit w:val="true"/>
        </w:trPr>
        <w:tc>
          <w:tcPr>
            <w:tcW w:type="dxa" w:w="14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three</w:t>
            </w:r>
          </w:p>
        </w:tc>
        <w:tc>
          <w:tcPr>
            <w:tcW w:type="dxa" w:w="1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^0.184.0</w:t>
            </w:r>
          </w:p>
        </w:tc>
        <w:tc>
          <w:tcPr>
            <w:tcW w:type="dxa" w:w="15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0.184.0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3D 知识图谱渲染</w:t>
            </w:r>
          </w:p>
        </w:tc>
      </w:tr>
    </w:tbl>
    <w:p>
      <w:pPr>
        <w:spacing w:after="40"/>
      </w:pPr>
    </w:p>
    <w:p>
      <w:pPr>
        <w:pStyle w:val="AXIOMQuote"/>
        <w:shd w:fill="ECF8F6" w:val="clear"/>
        <w:pBdr>
          <w:left w:val="single" w:sz="22" w:space="6" w:color="14A89A"/>
        </w:pBdr>
      </w:pPr>
      <w:r>
        <w:rPr>
          <w:rFonts w:ascii="Arial" w:hAnsi="Arial" w:eastAsia="宋体" w:cs="Arial"/>
          <w:b w:val="0"/>
          <w:i w:val="0"/>
        </w:rPr>
        <w:t>GSAP 是免费使用的专用许可证软件，不是 MIT/Apache/BSD 意义上的开源依赖，详见第 10.1 节。</w:t>
      </w:r>
    </w:p>
    <w:p>
      <w:bookmarkStart w:id="117" w:name="AXH_17_92fcea89"/>
      <w:pPr>
        <w:pStyle w:val="Heading2"/>
      </w:pPr>
      <w:r>
        <w:rPr>
          <w:rFonts w:ascii="Arial" w:hAnsi="Arial" w:eastAsia="宋体" w:cs="Arial"/>
          <w:b/>
          <w:i w:val="0"/>
        </w:rPr>
        <w:t>5.5 内容解析、展示与多格式资源</w:t>
      </w:r>
      <w:bookmarkEnd w:id="11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986"/>
        <w:gridCol w:w="1641"/>
        <w:gridCol w:w="1560"/>
        <w:gridCol w:w="1550"/>
        <w:gridCol w:w="2554"/>
      </w:tblGrid>
      <w:tr>
        <w:trPr>
          <w:tblHeader w:val="true"/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archiver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^8.0.0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8.0.0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导出资源压缩打包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date-fns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4.4.0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日期处理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highlight.js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^11.11.1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11.11.1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BSD-3-Clause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代码语法高亮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html-to-docx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^1.8.0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1.8.0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HTML 转 DOCX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katex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^0.17.0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0.17.0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LaTeX 数学公式渲染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marked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^18.0.4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18.0.5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解析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mermaid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^11.15.0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11.15.0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图表和知识导图渲染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pptxgenjs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^4.0.1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4.0.1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PPTX 文件生成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puppeteer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^25.1.0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25.1.0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无头浏览器渲染 PDF、视频和预览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react-markdown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^10.1.0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10.1.0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Markdown 展示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rehype-katex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^7.0.1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7.0.1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数学公式转换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remark-gfm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^4.0.1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4.0.1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GitHub Flavored Markdown</w:t>
            </w:r>
          </w:p>
        </w:tc>
      </w:tr>
      <w:tr>
        <w:trPr>
          <w:cantSplit w:val="true"/>
        </w:trPr>
        <w:tc>
          <w:tcPr>
            <w:tcW w:type="dxa" w:w="19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remark-math</w:t>
            </w:r>
          </w:p>
        </w:tc>
        <w:tc>
          <w:tcPr>
            <w:tcW w:type="dxa" w:w="164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^6.0.0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6.0.0</w:t>
            </w:r>
          </w:p>
        </w:tc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5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Markdown 数学语法解析</w:t>
            </w:r>
          </w:p>
        </w:tc>
      </w:tr>
    </w:tbl>
    <w:p>
      <w:pPr>
        <w:spacing w:after="40"/>
      </w:pPr>
    </w:p>
    <w:p>
      <w:bookmarkStart w:id="118" w:name="AXH_18_fa34319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6. 直接开发依赖完整清单</w:t>
      </w:r>
      <w:bookmarkEnd w:id="118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323"/>
        <w:gridCol w:w="1501"/>
        <w:gridCol w:w="1457"/>
        <w:gridCol w:w="1525"/>
        <w:gridCol w:w="2485"/>
      </w:tblGrid>
      <w:tr>
        <w:trPr>
          <w:tblHeader w:val="true"/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包名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声明版本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实际版本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许可证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本项目用途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@playwright/test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^1.60.0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1.60.0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浏览器端到端测试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@tailwindcss/postcss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^4.2.2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4.3.0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Tailwind 与 PostCSS 集成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@types/archiver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^7.0.0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Archiver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@types/bcryptjs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bcryptjs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@types/js-yaml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^4.0.9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4.0.9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js-yaml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@types/node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18.11.18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18.11.18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Node.js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@types/react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18.0.26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18.0.26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@types/react-dom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18.0.10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18.0.10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React DOM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@types/three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^0.184.1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0.184.1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Three.js TypeScript 类型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@typescript-eslint/eslint-plugin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^8.60.0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8.61.0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TypeScript ESLint 规则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@typescript-eslint/parser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8.60.0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8.60.0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TypeScript ESLint 解析器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autoprefixer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^10.4.27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10.5.0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CSS 浏览器前缀处理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bcryptjs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^3.0.3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3.0.3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BSD-3-Clause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密码哈希相关开发/运行支持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eslint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^8.57.0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8.57.1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静态代码检查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eslint-config-next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14.2.5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14.2.5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Next.js ESLint 配置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postcss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^8.5.8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8.5.15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CSS 转换管线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prisma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^6.0.0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6.19.3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Schema、迁移和客户端生成 CLI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tailwindcss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^4.2.2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4.3.0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样式构建框架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tsx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^4.19.0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4.22.4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MIT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直接运行 TypeScript 脚本</w:t>
            </w:r>
          </w:p>
        </w:tc>
      </w:tr>
      <w:tr>
        <w:trPr>
          <w:cantSplit w:val="true"/>
        </w:trPr>
        <w:tc>
          <w:tcPr>
            <w:tcW w:type="dxa" w:w="23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typescript</w:t>
            </w:r>
          </w:p>
        </w:tc>
        <w:tc>
          <w:tcPr>
            <w:tcW w:type="dxa" w:w="15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^5</w:t>
            </w:r>
          </w:p>
        </w:tc>
        <w:tc>
          <w:tcPr>
            <w:tcW w:type="dxa" w:w="14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5.9.3</w:t>
            </w:r>
          </w:p>
        </w:tc>
        <w:tc>
          <w:tcPr>
            <w:tcW w:type="dxa" w:w="15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48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TypeScript 编译器</w:t>
            </w:r>
          </w:p>
        </w:tc>
      </w:tr>
    </w:tbl>
    <w:p>
      <w:pPr>
        <w:spacing w:after="40"/>
      </w:pP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说明：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bcryptjs</w:t>
      </w:r>
      <w:r>
        <w:rPr>
          <w:rFonts w:ascii="Arial" w:hAnsi="Arial" w:eastAsia="宋体" w:cs="Arial"/>
          <w:b w:val="0"/>
          <w:i w:val="0"/>
        </w:rPr>
        <w:t xml:space="preserve"> 当前被列在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devDependencies</w:t>
      </w:r>
      <w:r>
        <w:rPr>
          <w:rFonts w:ascii="Arial" w:hAnsi="Arial" w:eastAsia="宋体" w:cs="Arial"/>
          <w:b w:val="0"/>
          <w:i w:val="0"/>
        </w:rPr>
        <w:t xml:space="preserve">，但认证流程是否在生产构建间接需要它，应由最终构建依赖分析确认；若生产直接需要，应移动到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dependencies</w:t>
      </w:r>
      <w:r>
        <w:rPr>
          <w:rFonts w:ascii="Arial" w:hAnsi="Arial" w:eastAsia="宋体" w:cs="Arial"/>
          <w:b w:val="0"/>
          <w:i w:val="0"/>
        </w:rPr>
        <w:t>，避免部署时被裁剪。</w:t>
      </w:r>
    </w:p>
    <w:p>
      <w:bookmarkStart w:id="119" w:name="AXH_19_751fb0e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7. 容器、服务与模型清单</w:t>
      </w:r>
      <w:bookmarkEnd w:id="119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1224"/>
        <w:gridCol w:w="1863"/>
        <w:gridCol w:w="1581"/>
        <w:gridCol w:w="2035"/>
        <w:gridCol w:w="2588"/>
      </w:tblGrid>
      <w:tr>
        <w:trPr>
          <w:tblHeader w:val="true"/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声明项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当前标签/版本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用途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官方许可证事实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5"/>
              </w:rPr>
              <w:t>当前处置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PostgreSQL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postgres:16-alpine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主关系数据库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PostgreSQL License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固定主版本但未固定补丁和摘要；发布前记录镜像 digest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Redis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redis:7-alpine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BullMQ 队列和任务状态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7.2 及更早为 BSD-3-Clause；7.4～7.8 为 RSALv2/SSPLv1 双许可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/>
                <w:i w:val="0"/>
                <w:color w:val="172235"/>
                <w:sz w:val="15"/>
              </w:rPr>
              <w:t>高优先级：标签不能证明具体小版本，必须固定并选定合规路径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Qdrant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qdrant/qdrant:v1.15.4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向量检索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Apache-2.0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已固定应用版本；仍需记录镜像摘要和 NOTICE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Ollama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ollama/ollama:latest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本地模型运行与嵌入 API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Ollama 软件为 MIT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必须改为固定版本/摘要；模型另审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LightRAG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ghcr.io/hkuds/lightrag:latest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图增强检索旁路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上游仓库为 MIT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latest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 xml:space="preserve"> 必须改为固定版本/摘要并复测配置</w:t>
            </w:r>
          </w:p>
        </w:tc>
      </w:tr>
      <w:tr>
        <w:trPr>
          <w:cantSplit w:val="true"/>
        </w:trP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BGE-M3</w:t>
            </w:r>
          </w:p>
        </w:tc>
        <w:tc>
          <w:tcPr>
            <w:tcW w:type="dxa" w:w="18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5"/>
                <w:shd w:val="clear" w:fill="F3F6F8"/>
              </w:rPr>
              <w:t>bge-m3:latest</w:t>
            </w:r>
          </w:p>
        </w:tc>
        <w:tc>
          <w:tcPr>
            <w:tcW w:type="dxa" w:w="15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本地文本嵌入</w:t>
            </w:r>
          </w:p>
        </w:tc>
        <w:tc>
          <w:tcPr>
            <w:tcW w:type="dxa" w:w="20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官方模型卡标为 MIT</w:t>
            </w:r>
          </w:p>
        </w:tc>
        <w:tc>
          <w:tcPr>
            <w:tcW w:type="dxa" w:w="25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5"/>
              </w:rPr>
              <w:t>记录 Ollama 模型 manifest、来源、hash 与模型卡；不只写模型名</w:t>
            </w:r>
          </w:p>
        </w:tc>
      </w:tr>
    </w:tbl>
    <w:p>
      <w:pPr>
        <w:spacing w:after="40"/>
      </w:pPr>
    </w:p>
    <w:p>
      <w:bookmarkStart w:id="120" w:name="AXH_20_80ca5627"/>
      <w:pPr>
        <w:pStyle w:val="Heading2"/>
      </w:pPr>
      <w:r>
        <w:rPr>
          <w:rFonts w:ascii="Arial" w:hAnsi="Arial" w:eastAsia="宋体" w:cs="Arial"/>
          <w:b/>
          <w:i w:val="0"/>
        </w:rPr>
        <w:t>7.1 软件许可证与模型许可证必须分开</w:t>
      </w:r>
      <w:bookmarkEnd w:id="12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Ollama 的 MIT 许可证只说明 Ollama 软件本身，不自动覆盖通过 Ollama 下载的所有模型。每一个模型都要独立记录：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模型仓库和发布者；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精确标签、manifest 或文件 hash；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模型许可证；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允许的使用范围和限制；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模型卡与必要归属说明；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Arial" w:hAnsi="Arial" w:eastAsia="宋体" w:cs="Arial"/>
          <w:b w:val="0"/>
          <w:i w:val="0"/>
        </w:rPr>
        <w:t>是否包含额外数据集或基础模型条款。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本项目当前默认的 BAAI/BGE-M3 官方模型卡标记为 MIT，但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bge-m3:latest</w:t>
      </w:r>
      <w:r>
        <w:rPr>
          <w:rFonts w:ascii="Arial" w:hAnsi="Arial" w:eastAsia="宋体" w:cs="Arial"/>
          <w:b w:val="0"/>
          <w:i w:val="0"/>
        </w:rPr>
        <w:t xml:space="preserve"> 仍是浮动引用，最终提交应固定可复现版本。</w:t>
      </w:r>
    </w:p>
    <w:p>
      <w:bookmarkStart w:id="121" w:name="AXH_21_d03fc29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8. 间接依赖扫描与异常项</w:t>
      </w:r>
      <w:bookmarkEnd w:id="121"/>
    </w:p>
    <w:p>
      <w:bookmarkStart w:id="122" w:name="AXH_22_dd850f48"/>
      <w:pPr>
        <w:pStyle w:val="Heading2"/>
      </w:pPr>
      <w:r>
        <w:rPr>
          <w:rFonts w:ascii="Arial" w:hAnsi="Arial" w:eastAsia="宋体" w:cs="Arial"/>
          <w:b/>
          <w:i w:val="0"/>
        </w:rPr>
        <w:t>8.1 完整安装树许可证分布</w:t>
      </w:r>
      <w:bookmarkEnd w:id="122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pnpm licenses list --json</w:t>
      </w:r>
      <w:r>
        <w:rPr>
          <w:rFonts w:ascii="Arial" w:hAnsi="Arial" w:eastAsia="宋体" w:cs="Arial"/>
          <w:b w:val="0"/>
          <w:i w:val="0"/>
        </w:rPr>
        <w:t xml:space="preserve"> 对当前安装树的扫描结果如下。数量按工具列出的包记录计算，同一包的多个版本可分别计数。</w:t>
      </w:r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2044"/>
        <w:gridCol w:w="3623"/>
        <w:gridCol w:w="3624"/>
      </w:tblGrid>
      <w:tr>
        <w:trPr>
          <w:tblHeader w:val="true"/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许可证标识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包记录数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处理说明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MIT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728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保留版权和许可文本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Apache-2.0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87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保留许可证、修改声明及上游 NOTICE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ISC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65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保留版权与许可文本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BSD-3-Clause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29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保留版权、条件和免责声明；不得用作者名背书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BSD-2-Clause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17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保留版权、条件和免责声明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BlueOak-1.0.0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4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保留许可文本并确认分发条件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MPL-2.0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3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文件级弱 Copyleft；如修改对应文件需按条款提供源码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CC-BY-4.0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需要适当署名、许可证链接和修改说明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Python-2.0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 Python 许可文本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0BSD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保留随包许可记录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CC0-1.0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保留来源记录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Unlicense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保留来源与许可文件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(MPL-2.0 OR Apache-2.0)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发行时明确选用兼容路径并保留对应文本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(MIT OR GPL-3.0-or-later)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本项目应选择 MIT 路径并保留 MIT 文本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(MIT OR CC0-1.0)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记录所选许可路径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(MIT AND Zlib)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两项条件均需满足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MIT AND ISC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两项许可文本均需保留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GSAP Standard “No Charge”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专用许可，按第 10.1 节处理</w:t>
            </w:r>
          </w:p>
        </w:tc>
      </w:tr>
      <w:tr>
        <w:trPr>
          <w:cantSplit w:val="true"/>
        </w:trPr>
        <w:tc>
          <w:tcPr>
            <w:tcW w:type="dxa" w:w="20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Unknown</w:t>
            </w:r>
          </w:p>
        </w:tc>
        <w:tc>
          <w:tcPr>
            <w:tcW w:type="dxa" w:w="3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1</w:t>
            </w:r>
          </w:p>
        </w:tc>
        <w:tc>
          <w:tcPr>
            <w:tcW w:type="dxa" w:w="3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实际为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khroma@2.1.0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；包元数据缺少字段，随包 </w:t>
            </w: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license</w:t>
            </w: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 xml:space="preserve"> 文件为 MIT</w:t>
            </w:r>
          </w:p>
        </w:tc>
      </w:tr>
    </w:tbl>
    <w:p>
      <w:pPr>
        <w:spacing w:after="40"/>
      </w:pPr>
    </w:p>
    <w:p>
      <w:bookmarkStart w:id="123" w:name="AXH_23_754ec881"/>
      <w:pPr>
        <w:pStyle w:val="Heading2"/>
      </w:pPr>
      <w:r>
        <w:rPr>
          <w:rFonts w:ascii="Arial" w:hAnsi="Arial" w:eastAsia="宋体" w:cs="Arial"/>
          <w:b/>
          <w:i w:val="0"/>
        </w:rPr>
        <w:t>8.2 khroma@2.1.0 的人工复核</w:t>
      </w:r>
      <w:bookmarkEnd w:id="12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自动工具将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khroma@2.1.0</w:t>
      </w:r>
      <w:r>
        <w:rPr>
          <w:rFonts w:ascii="Arial" w:hAnsi="Arial" w:eastAsia="宋体" w:cs="Arial"/>
          <w:b w:val="0"/>
          <w:i w:val="0"/>
        </w:rPr>
        <w:t xml:space="preserve"> 标记为 Unknown，因为它的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package.json</w:t>
      </w:r>
      <w:r>
        <w:rPr>
          <w:rFonts w:ascii="Arial" w:hAnsi="Arial" w:eastAsia="宋体" w:cs="Arial"/>
          <w:b w:val="0"/>
          <w:i w:val="0"/>
        </w:rPr>
        <w:t xml:space="preserve"> 没有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 字段。但安装目录包含名为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 的完整 MIT License，版权人为 Fabio Spampinato 与 Andrew Maney。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处置：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在第三方声明中按 MIT 收录；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 xml:space="preserve">保留原始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 xml:space="preserve"> 文件，不只记录人工结论；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自动扫描仍保持失败或警告，要求人工复核证据；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Arial" w:hAnsi="Arial" w:eastAsia="宋体" w:cs="Arial"/>
          <w:b w:val="0"/>
          <w:i w:val="0"/>
        </w:rPr>
        <w:t>依赖升级后重新检查，不能永久沿用本次结论。</w:t>
      </w:r>
    </w:p>
    <w:p>
      <w:bookmarkStart w:id="124" w:name="AXH_24_18a0a412"/>
      <w:pPr>
        <w:pStyle w:val="Heading2"/>
      </w:pPr>
      <w:r>
        <w:rPr>
          <w:rFonts w:ascii="Arial" w:hAnsi="Arial" w:eastAsia="宋体" w:cs="Arial"/>
          <w:b/>
          <w:i w:val="0"/>
        </w:rPr>
        <w:t>8.3 间接依赖不能被“直接依赖表”替代</w:t>
      </w:r>
      <w:bookmarkEnd w:id="124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最终分发物应基于实际产物生成 Software Bill of Materials（SBOM）或完整第三方清单。直接依赖只有 80 个，而安装树含大量间接依赖；只在 README 感谢几个著名框架，无法满足完整归属和许可证保留要求。</w:t>
      </w:r>
    </w:p>
    <w:p>
      <w:bookmarkStart w:id="125" w:name="AXH_25_2ef7d466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9. 主要许可证义务</w:t>
      </w:r>
      <w:bookmarkEnd w:id="12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以下是工程执行摘要；真正分发时以随包许可证原文为准。</w:t>
      </w:r>
    </w:p>
    <w:p>
      <w:bookmarkStart w:id="126" w:name="AXH_26_50da4af1"/>
      <w:pPr>
        <w:pStyle w:val="Heading2"/>
      </w:pPr>
      <w:r>
        <w:rPr>
          <w:rFonts w:ascii="Arial" w:hAnsi="Arial" w:eastAsia="宋体" w:cs="Arial"/>
          <w:b/>
          <w:i w:val="0"/>
        </w:rPr>
        <w:t>9.1 MIT、ISC、BSD</w:t>
      </w:r>
      <w:bookmarkEnd w:id="12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通常允许使用、复制、修改和分发，但应：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在软件副本或实质部分中保留版权声明和许可文本；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保留免责声明；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BSD-3-Clause 不得在未经许可时用原作者或贡献者名称为衍生产品背书；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Arial" w:hAnsi="Arial" w:eastAsia="宋体" w:cs="Arial"/>
          <w:b w:val="0"/>
          <w:i w:val="0"/>
        </w:rPr>
        <w:t>不因“宽松”而删除来源和版权信息。</w:t>
      </w:r>
    </w:p>
    <w:p>
      <w:bookmarkStart w:id="127" w:name="AXH_27_87e837f0"/>
      <w:pPr>
        <w:pStyle w:val="Heading2"/>
      </w:pPr>
      <w:r>
        <w:rPr>
          <w:rFonts w:ascii="Arial" w:hAnsi="Arial" w:eastAsia="宋体" w:cs="Arial"/>
          <w:b/>
          <w:i w:val="0"/>
        </w:rPr>
        <w:t>9.2 Apache License 2.0</w:t>
      </w:r>
      <w:bookmarkEnd w:id="127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分发时重点检查：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提供 Apache-2.0 许可证副本；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修改过上游文件时作显著说明；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保留适用的版权、专利、商标和归属声明；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 xml:space="preserve">上游若提供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NOTICE</w:t>
      </w:r>
      <w:r>
        <w:rPr>
          <w:rFonts w:ascii="Arial" w:hAnsi="Arial" w:eastAsia="宋体" w:cs="Arial"/>
          <w:b w:val="0"/>
          <w:i w:val="0"/>
        </w:rPr>
        <w:t>，在发行物中以符合条款的方式包含相关 NOTICE；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Arial" w:hAnsi="Arial" w:eastAsia="宋体" w:cs="Arial"/>
          <w:b w:val="0"/>
          <w:i w:val="0"/>
        </w:rPr>
        <w:t>不把许可描述为授予上游商标使用权。</w:t>
      </w:r>
    </w:p>
    <w:p>
      <w:bookmarkStart w:id="128" w:name="AXH_28_bac90061"/>
      <w:pPr>
        <w:pStyle w:val="Heading2"/>
      </w:pPr>
      <w:r>
        <w:rPr>
          <w:rFonts w:ascii="Arial" w:hAnsi="Arial" w:eastAsia="宋体" w:cs="Arial"/>
          <w:b/>
          <w:i w:val="0"/>
        </w:rPr>
        <w:t>9.3 MPL-2.0</w:t>
      </w:r>
      <w:bookmarkEnd w:id="12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MPL-2.0 是文件级弱 Copyleft。若只是未修改地使用依赖，一般保留许可证和源码获取信息；若修改了受 MPL 覆盖的文件并分发，需按许可证要求提供这些文件的源代码。最终发布前应确认打包方式和是否修改过上游文件。</w:t>
      </w:r>
    </w:p>
    <w:p>
      <w:bookmarkStart w:id="129" w:name="AXH_29_bb2f8d67"/>
      <w:pPr>
        <w:pStyle w:val="Heading2"/>
      </w:pPr>
      <w:r>
        <w:rPr>
          <w:rFonts w:ascii="Arial" w:hAnsi="Arial" w:eastAsia="宋体" w:cs="Arial"/>
          <w:b/>
          <w:i w:val="0"/>
        </w:rPr>
        <w:t>9.4 CC-BY-4.0</w:t>
      </w:r>
      <w:bookmarkEnd w:id="12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对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caniuse-lite</w:t>
      </w:r>
      <w:r>
        <w:rPr>
          <w:rFonts w:ascii="Arial" w:hAnsi="Arial" w:eastAsia="宋体" w:cs="Arial"/>
          <w:b w:val="0"/>
          <w:i w:val="0"/>
        </w:rPr>
        <w:t xml:space="preserve"> 等数据类依赖，需要保留适当署名、许可证链接和修改说明。它不是普通代码 MIT 许可，第三方声明生成器不能忽略数据许可证。</w:t>
      </w:r>
    </w:p>
    <w:p>
      <w:bookmarkStart w:id="130" w:name="AXH_30_b26cdb84"/>
      <w:pPr>
        <w:pStyle w:val="Heading2"/>
      </w:pPr>
      <w:r>
        <w:rPr>
          <w:rFonts w:ascii="Arial" w:hAnsi="Arial" w:eastAsia="宋体" w:cs="Arial"/>
          <w:b/>
          <w:i w:val="0"/>
        </w:rPr>
        <w:t>9.5 多许可证表达式</w:t>
      </w:r>
      <w:bookmarkEnd w:id="130"/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OR</w:t>
      </w:r>
      <w:r>
        <w:rPr>
          <w:rFonts w:ascii="Arial" w:hAnsi="Arial" w:eastAsia="宋体" w:cs="Arial"/>
          <w:b w:val="0"/>
          <w:i w:val="0"/>
        </w:rPr>
        <w:t>：通常可以选择一个许可路径，但必须记录选择；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AND</w:t>
      </w:r>
      <w:r>
        <w:rPr>
          <w:rFonts w:ascii="Arial" w:hAnsi="Arial" w:eastAsia="宋体" w:cs="Arial"/>
          <w:b w:val="0"/>
          <w:i w:val="0"/>
        </w:rPr>
        <w:t>：需要同时满足列出的许可条件；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Arial" w:hAnsi="Arial" w:eastAsia="宋体" w:cs="Arial"/>
          <w:b w:val="0"/>
          <w:i w:val="0"/>
        </w:rPr>
        <w:t>不得在没有记录的情况下默认选择“看起来最宽松”的一项。</w:t>
      </w:r>
    </w:p>
    <w:p>
      <w:bookmarkStart w:id="131" w:name="AXH_31_26ee338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10. 特殊风险与处置决策</w:t>
      </w:r>
      <w:bookmarkEnd w:id="131"/>
    </w:p>
    <w:p>
      <w:bookmarkStart w:id="132" w:name="AXH_32_7b72fe0e"/>
      <w:pPr>
        <w:pStyle w:val="Heading2"/>
      </w:pPr>
      <w:r>
        <w:rPr>
          <w:rFonts w:ascii="Arial" w:hAnsi="Arial" w:eastAsia="宋体" w:cs="Arial"/>
          <w:b/>
          <w:i w:val="0"/>
        </w:rPr>
        <w:t>10.1 GSAP 不是普通开源许可证</w:t>
      </w:r>
      <w:bookmarkEnd w:id="132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当前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gsap@3.15.0</w:t>
      </w:r>
      <w:r>
        <w:rPr>
          <w:rFonts w:ascii="Arial" w:hAnsi="Arial" w:eastAsia="宋体" w:cs="Arial"/>
          <w:b w:val="0"/>
          <w:i w:val="0"/>
        </w:rPr>
        <w:t xml:space="preserve"> 的包元数据声明为 Standard “No Charge” License。官方条款允许在网站、Web 应用或数字界面中使用，但禁止在特定条件下用于与 Webflow 视觉动画构建能力竞争的产品，并要求不得移除专有声明或品牌。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AXIOM Space 当前用 GSAP 控制知识图谱节点、相机和布局过渡，不是无代码视觉动画构建器；从工程用途看属于官方列出的常规 Web 应用方向。但最终发布仍应：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把 GSAP 单列为“第三方专用许可”，不放进“全部 MIT 开源”宣传；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保留其专有声明和当前适用条款快照；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若产品未来增加可视化动画编辑器或生成器，重新评估禁止用途；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Arial" w:hAnsi="Arial" w:eastAsia="宋体" w:cs="Arial"/>
          <w:b w:val="0"/>
          <w:i w:val="0"/>
        </w:rPr>
        <w:t>升级 GSAP 前重新阅读当时条款。</w:t>
      </w:r>
    </w:p>
    <w:p>
      <w:bookmarkStart w:id="133" w:name="AXH_33_b8963f47"/>
      <w:pPr>
        <w:pStyle w:val="Heading2"/>
      </w:pPr>
      <w:r>
        <w:rPr>
          <w:rFonts w:ascii="Arial" w:hAnsi="Arial" w:eastAsia="宋体" w:cs="Arial"/>
          <w:b/>
          <w:i w:val="0"/>
        </w:rPr>
        <w:t>10.2 Redis 7 浮动标签</w:t>
      </w:r>
      <w:bookmarkEnd w:id="133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官方许可页明确区分：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Redis 7.2.x 及更早：BSD-3-Clause；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Redis Community Edition 7.4.x～7.8.x：RSALv2 或 SSPLv1；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Arial" w:hAnsi="Arial" w:eastAsia="宋体" w:cs="Arial"/>
          <w:b w:val="0"/>
          <w:i w:val="0"/>
        </w:rPr>
        <w:t>Redis 8 及以后：RSALv2、SSPLv1 或 AGPLv3 三选一。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redis:7-alpine</w:t>
      </w:r>
      <w:r>
        <w:rPr>
          <w:rFonts w:ascii="Arial" w:hAnsi="Arial" w:eastAsia="宋体" w:cs="Arial"/>
          <w:b w:val="0"/>
          <w:i w:val="0"/>
        </w:rPr>
        <w:t xml:space="preserve"> 只固定主版本，无法从仓库声明判断最终拉取的是 7.2 还是 7.4/7.8。因此在最终发行前必须：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明确选择具体 Redis 版本；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阅读并记录该版本许可证；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若希望保持 BSD-3-Clause 路径，固定经过安全评估的 7.2.x 具体补丁和镜像摘要；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若使用 7.4+，由负责人确认 RSALv2/SSPLv1 对预期部署和分发方式的影响；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Arial" w:hAnsi="Arial" w:eastAsia="宋体" w:cs="Arial"/>
          <w:b w:val="0"/>
          <w:i w:val="0"/>
        </w:rPr>
        <w:t>安全性、维护期与许可证不能只选一个维度，必须共同评估。</w:t>
      </w:r>
    </w:p>
    <w:p>
      <w:bookmarkStart w:id="134" w:name="AXH_34_94a94522"/>
      <w:pPr>
        <w:pStyle w:val="Heading2"/>
      </w:pPr>
      <w:r>
        <w:rPr>
          <w:rFonts w:ascii="Arial" w:hAnsi="Arial" w:eastAsia="宋体" w:cs="Arial"/>
          <w:b/>
          <w:i w:val="0"/>
        </w:rPr>
        <w:t>10.3 latest 标签与不可复现性</w:t>
      </w:r>
      <w:bookmarkEnd w:id="134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ollama/ollama:latest</w:t>
      </w:r>
      <w:r>
        <w:rPr>
          <w:rFonts w:ascii="Arial" w:hAnsi="Arial" w:eastAsia="宋体" w:cs="Arial"/>
          <w:b w:val="0"/>
          <w:i w:val="0"/>
        </w:rPr>
        <w:t>、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ghcr.io/hkuds/lightrag:latest</w:t>
      </w:r>
      <w:r>
        <w:rPr>
          <w:rFonts w:ascii="Arial" w:hAnsi="Arial" w:eastAsia="宋体" w:cs="Arial"/>
          <w:b w:val="0"/>
          <w:i w:val="0"/>
        </w:rPr>
        <w:t xml:space="preserve"> 和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bge-m3:latest</w:t>
      </w:r>
      <w:r>
        <w:rPr>
          <w:rFonts w:ascii="Arial" w:hAnsi="Arial" w:eastAsia="宋体" w:cs="Arial"/>
          <w:b w:val="0"/>
          <w:i w:val="0"/>
        </w:rPr>
        <w:t xml:space="preserve"> 会随时间指向不同内容。风险包括：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许可证或依赖树变化；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接口不兼容；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模型输出变化；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演示环境无法复现；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Arial" w:hAnsi="Arial" w:eastAsia="宋体" w:cs="Arial"/>
          <w:b w:val="0"/>
          <w:i w:val="0"/>
        </w:rPr>
        <w:t>漏洞扫描结果失效。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最终交付应固定语义版本和不可变 digest/hash，并把它们写入构建证据。</w:t>
      </w:r>
    </w:p>
    <w:p>
      <w:bookmarkStart w:id="135" w:name="AXH_35_7c9c340a"/>
      <w:pPr>
        <w:pStyle w:val="Heading2"/>
      </w:pPr>
      <w:r>
        <w:rPr>
          <w:rFonts w:ascii="Arial" w:hAnsi="Arial" w:eastAsia="宋体" w:cs="Arial"/>
          <w:b/>
          <w:i w:val="0"/>
        </w:rPr>
        <w:t>10.4 静态媒体来源</w:t>
      </w:r>
      <w:bookmarkEnd w:id="135"/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public/videos/test.mp4</w:t>
      </w:r>
      <w:r>
        <w:rPr>
          <w:rFonts w:ascii="Arial" w:hAnsi="Arial" w:eastAsia="宋体" w:cs="Arial"/>
          <w:b w:val="0"/>
          <w:i w:val="0"/>
        </w:rPr>
        <w:t xml:space="preserve"> 会被 Web 应用静态分发，但仓库内没有与该文件对应的来源、作者、许可或生成说明。即使它只是测试视频，也必须在发布前完成以下之一：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证明为团队自制并补充来源记录；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补齐第三方授权和署名；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Arial" w:hAnsi="Arial" w:eastAsia="宋体" w:cs="Arial"/>
          <w:b w:val="0"/>
          <w:i w:val="0"/>
        </w:rPr>
        <w:t>若不再使用，从发行物中移除。</w:t>
      </w:r>
    </w:p>
    <w:p>
      <w:pPr>
        <w:pStyle w:val="AXIOMBody"/>
      </w:pP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public/favicon.svg</w:t>
      </w:r>
      <w:r>
        <w:rPr>
          <w:rFonts w:ascii="Arial" w:hAnsi="Arial" w:eastAsia="宋体" w:cs="Arial"/>
          <w:b w:val="0"/>
          <w:i w:val="0"/>
        </w:rPr>
        <w:t xml:space="preserve"> 同样应记录为团队原创、合法生成或具有明确授权。系统字体当前主要依赖浏览器/操作系统字体栈；若未来打包 WOFF/TTF 文件，应单独审计字体许可证。</w:t>
      </w:r>
    </w:p>
    <w:p>
      <w:bookmarkStart w:id="136" w:name="AXH_36_a47b0550"/>
      <w:pPr>
        <w:pStyle w:val="Heading2"/>
      </w:pPr>
      <w:r>
        <w:rPr>
          <w:rFonts w:ascii="Arial" w:hAnsi="Arial" w:eastAsia="宋体" w:cs="Arial"/>
          <w:b/>
          <w:i w:val="0"/>
        </w:rPr>
        <w:t>10.5 用户资料与 AI 生成内容</w:t>
      </w:r>
      <w:bookmarkEnd w:id="136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开源软件许可不解决内容版权：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用户上传课程 PDF 不因进入知识库而变成可公开再分发内容；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RAG 引用应保留来源，不应大段复制受保护内容；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AI 生成图片、文本、代码和视频需按所用模型与服务条款审查；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Arial" w:hAnsi="Arial" w:eastAsia="宋体" w:cs="Arial"/>
          <w:b w:val="0"/>
          <w:i w:val="0"/>
        </w:rPr>
        <w:t>比赛演示中使用的截图、配乐、头像和案例资料应另建素材授权清单。</w:t>
      </w:r>
    </w:p>
    <w:p>
      <w:bookmarkStart w:id="137" w:name="AXH_37_24a55020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11. 第三方声明与发布物组织</w:t>
      </w:r>
      <w:bookmarkEnd w:id="137"/>
    </w:p>
    <w:p>
      <w:bookmarkStart w:id="138" w:name="AXH_38_007475b6"/>
      <w:pPr>
        <w:pStyle w:val="Heading2"/>
      </w:pPr>
      <w:r>
        <w:rPr>
          <w:rFonts w:ascii="Arial" w:hAnsi="Arial" w:eastAsia="宋体" w:cs="Arial"/>
          <w:b/>
          <w:i w:val="0"/>
        </w:rPr>
        <w:t>11.1 建议的发行文件</w:t>
      </w:r>
      <w:bookmarkEnd w:id="138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最终发行包至少应包含：</w:t>
      </w:r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结构示意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LICENSE                         # AXIOM Space 自研代码的授权决定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THIRD_PARTY_NOTICES.md          # 第三方名称、版本、用途、版权和许可证索引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licenses/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npm/&lt;package&gt;/LICENSE         # 实际分发依赖的许可证原文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containers/&lt;component&gt;/...    # 容器软件许可证或官方链接快照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 models/&lt;model&gt;/MODEL_CARD.md  # 模型来源、版本/hash、许可证和用途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SBOM.cdx.json                   # 建议：CycloneDX 或等价 SBOM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若比赛提交格式不允许改变根目录，可将上述材料放在提交包约定的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licenses/</w:t>
      </w:r>
      <w:r>
        <w:rPr>
          <w:rFonts w:ascii="Arial" w:hAnsi="Arial" w:eastAsia="宋体" w:cs="Arial"/>
          <w:b w:val="0"/>
          <w:i w:val="0"/>
        </w:rPr>
        <w:t xml:space="preserve"> 目录，但不能只在本说明书中口头说“遵守开源协议”。</w:t>
      </w:r>
    </w:p>
    <w:p>
      <w:bookmarkStart w:id="139" w:name="AXH_39_adda45e6"/>
      <w:pPr>
        <w:pStyle w:val="Heading2"/>
      </w:pPr>
      <w:r>
        <w:rPr>
          <w:rFonts w:ascii="Arial" w:hAnsi="Arial" w:eastAsia="宋体" w:cs="Arial"/>
          <w:b/>
          <w:i w:val="0"/>
        </w:rPr>
        <w:t>11.2 THIRD_PARTY_NOTICES.md 最小字段</w:t>
      </w:r>
      <w:bookmarkEnd w:id="13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每一项至少包含：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名称；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精确版本；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上游主页或仓库；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在项目中的用途；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许可证标识；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版权声明；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许可证全文位置；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是否修改上游代码；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是否包含 NOTICE；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Arial" w:hAnsi="Arial" w:eastAsia="宋体" w:cs="Arial"/>
          <w:b w:val="0"/>
          <w:i w:val="0"/>
        </w:rPr>
        <w:t>发行物中实际包含还是仅开发期使用。</w:t>
      </w:r>
    </w:p>
    <w:p>
      <w:bookmarkStart w:id="140" w:name="AXH_40_a6dc9450"/>
      <w:pPr>
        <w:pStyle w:val="Heading2"/>
      </w:pPr>
      <w:r>
        <w:rPr>
          <w:rFonts w:ascii="Arial" w:hAnsi="Arial" w:eastAsia="宋体" w:cs="Arial"/>
          <w:b/>
          <w:i w:val="0"/>
        </w:rPr>
        <w:t>11.3 署名不能替代许可义务</w:t>
      </w:r>
      <w:bookmarkEnd w:id="140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README 中写“感谢所有开源项目”有礼貌，但不等于合规。合规必须能从每个分发组件追溯到具体版本、许可证文本和必要声明。</w:t>
      </w:r>
    </w:p>
    <w:p>
      <w:bookmarkStart w:id="141" w:name="AXH_41_bfa8c559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12. 开发、提交与发布流程</w:t>
      </w:r>
      <w:bookmarkEnd w:id="141"/>
    </w:p>
    <w:p>
      <w:bookmarkStart w:id="142" w:name="AXH_42_893c9a0c"/>
      <w:pPr>
        <w:pStyle w:val="Heading2"/>
      </w:pPr>
      <w:r>
        <w:rPr>
          <w:rFonts w:ascii="Arial" w:hAnsi="Arial" w:eastAsia="宋体" w:cs="Arial"/>
          <w:b/>
          <w:i w:val="0"/>
        </w:rPr>
        <w:t>12.1 新增依赖前</w:t>
      </w:r>
      <w:bookmarkEnd w:id="142"/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明确为何不能用现有能力或少量自研代码解决；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检查维护状态、安全记录、包体积和许可证；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避免 Unknown、无许可证、不可再分发或与项目目标冲突的依赖；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对专用许可、Copyleft 或模型许可请求负责人复核；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Arial" w:hAnsi="Arial" w:eastAsia="宋体" w:cs="Arial"/>
          <w:b w:val="0"/>
          <w:i w:val="0"/>
        </w:rPr>
        <w:t>记录用途和替代方案。</w:t>
      </w:r>
    </w:p>
    <w:p>
      <w:bookmarkStart w:id="143" w:name="AXH_43_1f83995c"/>
      <w:pPr>
        <w:pStyle w:val="Heading2"/>
      </w:pPr>
      <w:r>
        <w:rPr>
          <w:rFonts w:ascii="Arial" w:hAnsi="Arial" w:eastAsia="宋体" w:cs="Arial"/>
          <w:b/>
          <w:i w:val="0"/>
        </w:rPr>
        <w:t>12.2 合入代码时</w:t>
      </w:r>
      <w:bookmarkEnd w:id="143"/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锁定版本；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 xml:space="preserve">将依赖加入对应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dependencies</w:t>
      </w:r>
      <w:r>
        <w:rPr>
          <w:rFonts w:ascii="Arial" w:hAnsi="Arial" w:eastAsia="宋体" w:cs="Arial"/>
          <w:b w:val="0"/>
          <w:i w:val="0"/>
        </w:rPr>
        <w:t xml:space="preserve"> 或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devDependencies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更新第三方清单；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保存许可证和 NOTICE；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运行许可证扫描和安全扫描；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验证生产构建是否实际包含该组件；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Arial" w:hAnsi="Arial" w:eastAsia="宋体" w:cs="Arial"/>
          <w:b w:val="0"/>
          <w:i w:val="0"/>
        </w:rPr>
        <w:t>在设计文档中准确说明“集成”，不冒充自研。</w:t>
      </w:r>
    </w:p>
    <w:p>
      <w:bookmarkStart w:id="144" w:name="AXH_44_f938baf8"/>
      <w:pPr>
        <w:pStyle w:val="Heading2"/>
      </w:pPr>
      <w:r>
        <w:rPr>
          <w:rFonts w:ascii="Arial" w:hAnsi="Arial" w:eastAsia="宋体" w:cs="Arial"/>
          <w:b/>
          <w:i w:val="0"/>
        </w:rPr>
        <w:t>12.3 每次发布前</w:t>
      </w:r>
      <w:bookmarkEnd w:id="144"/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从干净环境按锁文件安装；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生成完整依赖树和 SBOM；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扫描 Unknown、专用许可、Copyleft 和新许可证；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对比上一个版本的依赖变化；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固定容器摘要和模型 hash；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汇总许可证与 NOTICE；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清理无来源测试素材；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由开发负责人和合规负责人双人确认；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Arial" w:hAnsi="Arial" w:eastAsia="宋体" w:cs="Arial"/>
          <w:b w:val="0"/>
          <w:i w:val="0"/>
        </w:rPr>
        <w:t>保存扫描输出、构建号和确认记录。</w:t>
      </w:r>
    </w:p>
    <w:p>
      <w:bookmarkStart w:id="145" w:name="AXH_45_d858e7e5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13. 公开发行合规基线</w:t>
      </w:r>
      <w:bookmarkEnd w:id="145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公开发行源码、镜像或安装包时，按以下基线逐项生成发行证据；参赛阶段的第三方使用披露以前述完整清单为准：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 xml:space="preserve">团队已经决定并添加 AXIOM Space 自研代码的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LICENSE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已从最终构建而不是开发机临时状态生成依赖清单；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60 个运行依赖的版本、许可与用途已复核；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20 个开发依赖中不会进入发布包的项目已正确标记；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全部间接依赖均无未解释的 Unknown；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khroma@2.1.0</w:t>
      </w:r>
      <w:r>
        <w:rPr>
          <w:rFonts w:ascii="Arial" w:hAnsi="Arial" w:eastAsia="宋体" w:cs="Arial"/>
          <w:b w:val="0"/>
          <w:i w:val="0"/>
        </w:rPr>
        <w:t xml:space="preserve"> 的 MIT 许可原文已收录；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GSAP 专用许可已单列，产品用途不触发禁止项；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Redis 已固定具体版本和摘要，许可路径已确认；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 xml:space="preserve">Ollama、LightRAG 与 BGE-M3 不再使用浮动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latest</w:t>
      </w:r>
      <w:r>
        <w:rPr>
          <w:rFonts w:ascii="Arial" w:hAnsi="Arial" w:eastAsia="宋体" w:cs="Arial"/>
          <w:b w:val="0"/>
          <w:i w:val="0"/>
        </w:rPr>
        <w:t>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PostgreSQL、Qdrant 等镜像摘要已记录；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所有 Apache-2.0 上游 NOTICE 已检查和汇总；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MPL、CC-BY 和多许可证依赖的义务已落实；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模型卡、模型许可证和模型 hash 已保存；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public/videos/test.mp4</w:t>
      </w:r>
      <w:r>
        <w:rPr>
          <w:rFonts w:ascii="Arial" w:hAnsi="Arial" w:eastAsia="宋体" w:cs="Arial"/>
          <w:b w:val="0"/>
          <w:i w:val="0"/>
        </w:rPr>
        <w:t xml:space="preserve"> 与 favicon 的来源已证明或文件已移出发行物；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比赛 PPT、视频、配乐、图片和课程资料有独立素材授权清单；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 xml:space="preserve">已生成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THIRD_PARTY_NOTICES.md</w:t>
      </w:r>
      <w:r>
        <w:rPr>
          <w:rFonts w:ascii="Arial" w:hAnsi="Arial" w:eastAsia="宋体" w:cs="Arial"/>
          <w:b w:val="0"/>
          <w:i w:val="0"/>
        </w:rPr>
        <w:t xml:space="preserve"> 和许可证原文目录；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已生成并归档 SBOM、许可证扫描和漏洞扫描结果；</w:t>
      </w:r>
    </w:p>
    <w:p>
      <w:pPr>
        <w:spacing w:after="80"/>
        <w:ind w:left="540" w:hanging="274"/>
      </w:pPr>
      <w:r>
        <w:rPr>
          <w:rFonts w:ascii="Microsoft YaHei" w:hAnsi="Microsoft YaHei" w:eastAsia="微软雅黑" w:cs="Microsoft YaHei"/>
          <w:b/>
          <w:color w:val="0F756D"/>
          <w:sz w:val="20"/>
        </w:rPr>
        <w:t xml:space="preserve">☐  </w:t>
      </w:r>
      <w:r>
        <w:rPr>
          <w:rFonts w:ascii="Arial" w:hAnsi="Arial" w:eastAsia="宋体" w:cs="Arial"/>
          <w:b w:val="0"/>
          <w:i w:val="0"/>
        </w:rPr>
        <w:t>文档、官网和答辩没有把第三方能力表述为团队自研。</w:t>
      </w:r>
    </w:p>
    <w:p>
      <w:bookmarkStart w:id="146" w:name="AXH_46_21321beb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14. 复核命令与证据位置</w:t>
      </w:r>
      <w:bookmarkEnd w:id="146"/>
    </w:p>
    <w:p>
      <w:bookmarkStart w:id="147" w:name="AXH_47_0e729794"/>
      <w:pPr>
        <w:pStyle w:val="Heading2"/>
      </w:pPr>
      <w:r>
        <w:rPr>
          <w:rFonts w:ascii="Arial" w:hAnsi="Arial" w:eastAsia="宋体" w:cs="Arial"/>
          <w:b/>
          <w:i w:val="0"/>
        </w:rPr>
        <w:t>14.1 关键真源</w:t>
      </w:r>
      <w:bookmarkEnd w:id="147"/>
    </w:p>
    <w:tbl>
      <w:tblPr>
        <w:tblW w:type="dxa" w:w="9291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6DEE6"/>
          <w:left w:val="single" w:sz="5" w:space="0" w:color="D6DEE6"/>
          <w:bottom w:val="single" w:sz="5" w:space="0" w:color="D6DEE6"/>
          <w:right w:val="single" w:sz="5" w:space="0" w:color="D6DEE6"/>
          <w:insideH w:val="single" w:sz="5" w:space="0" w:color="D6DEE6"/>
          <w:insideV w:val="single" w:sz="5" w:space="0" w:color="D6DEE6"/>
        </w:tblBorders>
        <w:tblInd w:type="dxa" w:w="120"/>
      </w:tblPr>
      <w:tblGrid>
        <w:gridCol w:w="4839"/>
        <w:gridCol w:w="4452"/>
      </w:tblGrid>
      <w:tr>
        <w:trPr>
          <w:tblHeader w:val="true"/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文件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0243E" w:val="clear"/>
          </w:tcPr>
          <w:p>
            <w:pPr>
              <w:spacing w:before="0" w:after="0" w:line="252" w:lineRule="auto"/>
              <w:ind w:firstLine="0" w:left="0" w:right="0"/>
              <w:jc w:val="center"/>
            </w:pPr>
            <w:r>
              <w:rPr>
                <w:rFonts w:ascii="Arial" w:hAnsi="Arial" w:eastAsia="宋体" w:cs="Arial"/>
                <w:b/>
                <w:i w:val="0"/>
                <w:color w:val="FFFFFF"/>
                <w:sz w:val="16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package.json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直接依赖与声明版本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pnpm-lock.yaml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安装版本与间接依赖锁定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node_modules/&lt;package&gt;/package.json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本次安装的包元数据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node_modules/&lt;package&gt;/LICENSE*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许可证原文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docker-compose.yml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容器镜像声明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.env.example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模型和服务默认值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scripts/dev-all.mjs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自动拉取模型和服务启动行为</w:t>
            </w:r>
          </w:p>
        </w:tc>
      </w:tr>
      <w:tr>
        <w:trPr>
          <w:cantSplit w:val="true"/>
        </w:trPr>
        <w:tc>
          <w:tcPr>
            <w:tcW w:type="dxa" w:w="4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Consolas" w:hAnsi="Consolas" w:eastAsia="微软雅黑" w:cs="Consolas"/>
                <w:b w:val="0"/>
                <w:i w:val="0"/>
                <w:color w:val="183B5B"/>
                <w:sz w:val="16"/>
                <w:shd w:val="clear" w:fill="F3F6F8"/>
              </w:rPr>
              <w:t>components/three/galaxy-canvas.tsx</w:t>
            </w:r>
          </w:p>
        </w:tc>
        <w:tc>
          <w:tcPr>
            <w:tcW w:type="dxa" w:w="44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7F9" w:val="clear"/>
          </w:tcPr>
          <w:p>
            <w:pPr>
              <w:spacing w:before="0" w:after="0" w:line="252" w:lineRule="auto"/>
              <w:ind w:firstLine="0" w:left="0" w:right="0"/>
              <w:jc w:val="left"/>
            </w:pPr>
            <w:r>
              <w:rPr>
                <w:rFonts w:ascii="Arial" w:hAnsi="Arial" w:eastAsia="宋体" w:cs="Arial"/>
                <w:b w:val="0"/>
                <w:i w:val="0"/>
                <w:color w:val="172235"/>
                <w:sz w:val="16"/>
              </w:rPr>
              <w:t>GSAP 和 Three.js 实际用途证据</w:t>
            </w:r>
          </w:p>
        </w:tc>
      </w:tr>
    </w:tbl>
    <w:p>
      <w:pPr>
        <w:spacing w:after="40"/>
      </w:pPr>
    </w:p>
    <w:p>
      <w:bookmarkStart w:id="148" w:name="AXH_48_22cae0ca"/>
      <w:pPr>
        <w:pStyle w:val="Heading2"/>
      </w:pPr>
      <w:r>
        <w:rPr>
          <w:rFonts w:ascii="Arial" w:hAnsi="Arial" w:eastAsia="宋体" w:cs="Arial"/>
          <w:b/>
          <w:i w:val="0"/>
        </w:rPr>
        <w:t>14.2 可重复执行命令</w:t>
      </w:r>
      <w:bookmarkEnd w:id="148"/>
    </w:p>
    <w:p>
      <w:pPr>
        <w:spacing w:before="120" w:after="40"/>
      </w:pPr>
      <w:r>
        <w:rPr>
          <w:rFonts w:ascii="Microsoft YaHei" w:hAnsi="Microsoft YaHei" w:eastAsia="微软雅黑" w:cs="Microsoft YaHei"/>
          <w:b/>
          <w:color w:val="0F756D"/>
          <w:sz w:val="15"/>
        </w:rPr>
        <w:t>代码示例 · POWERSHELL</w:t>
      </w:r>
    </w:p>
    <w:p>
      <w:pPr>
        <w:pStyle w:val="AXIOMCode"/>
        <w:shd w:fill="F3F6F8" w:val="clear"/>
        <w:pBdr>
          <w:left w:val="single" w:sz="16" w:space="4" w:color="14A89A"/>
        </w:pBdr>
        <w:spacing w:before="20"/>
      </w:pPr>
      <w:r>
        <w:rPr>
          <w:rFonts w:ascii="Consolas" w:hAnsi="Consolas" w:eastAsia="微软雅黑" w:cs="Consolas"/>
          <w:color w:val="172235"/>
          <w:sz w:val="16"/>
        </w:rPr>
        <w:t># 直接依赖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list --depth 0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完整依赖许可证扫描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licenses list --json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依赖为何存在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pnpm why &lt;package-name&gt;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当前容器镜像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docker compose images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解析镜像不可变摘要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docker image inspect &lt;image&gt; --format '{{json .RepoDigests}}'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 xml:space="preserve"> </w:t>
      </w:r>
    </w:p>
    <w:p>
      <w:pPr>
        <w:pStyle w:val="AXIOMCode"/>
        <w:shd w:fill="F3F6F8" w:val="clear"/>
        <w:pBdr>
          <w:left w:val="single" w:sz="4" w:space="4" w:color="D6DEE6"/>
        </w:pBdr>
      </w:pPr>
      <w:r>
        <w:rPr>
          <w:rFonts w:ascii="Consolas" w:hAnsi="Consolas" w:eastAsia="微软雅黑" w:cs="Consolas"/>
          <w:color w:val="172235"/>
          <w:sz w:val="16"/>
        </w:rPr>
        <w:t># 当前 Ollama 模型</w:t>
      </w:r>
    </w:p>
    <w:p>
      <w:pPr>
        <w:pStyle w:val="AXIOMCode"/>
        <w:shd w:fill="F3F6F8" w:val="clear"/>
        <w:pBdr>
          <w:left w:val="single" w:sz="4" w:space="4" w:color="D6DEE6"/>
        </w:pBdr>
        <w:spacing w:after="120"/>
      </w:pPr>
      <w:r>
        <w:rPr>
          <w:rFonts w:ascii="Consolas" w:hAnsi="Consolas" w:eastAsia="微软雅黑" w:cs="Consolas"/>
          <w:color w:val="172235"/>
          <w:sz w:val="16"/>
        </w:rPr>
        <w:t>docker compose exec ollama ollama list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 xml:space="preserve">执行输出应进入发行证据目录，不应散落在项目根目录。扫描工具的 Unknown 不能直接忽略，必须像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khroma</w:t>
      </w:r>
      <w:r>
        <w:rPr>
          <w:rFonts w:ascii="Arial" w:hAnsi="Arial" w:eastAsia="宋体" w:cs="Arial"/>
          <w:b w:val="0"/>
          <w:i w:val="0"/>
        </w:rPr>
        <w:t xml:space="preserve"> 一样回到随包许可证文件人工复核。</w:t>
      </w:r>
    </w:p>
    <w:p>
      <w:bookmarkStart w:id="149" w:name="AXH_49_89b50aaa"/>
      <w:pPr>
        <w:pStyle w:val="Heading1"/>
        <w:pBdr>
          <w:bottom w:val="single" w:sz="12" w:space="5" w:color="D6A64B"/>
        </w:pBdr>
      </w:pPr>
      <w:r>
        <w:rPr>
          <w:rFonts w:ascii="Arial" w:hAnsi="Arial" w:eastAsia="宋体" w:cs="Arial"/>
          <w:b/>
          <w:i w:val="0"/>
        </w:rPr>
        <w:t>15. 官方核验来源</w:t>
      </w:r>
      <w:bookmarkEnd w:id="149"/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本次容器、模型和专用许可的官方核验来源：</w:t>
      </w:r>
    </w:p>
    <w:p>
      <w:pPr>
        <w:spacing w:after="80" w:line="300" w:lineRule="auto"/>
        <w:numPr>
          <w:ilvl w:val="0"/>
          <w:numId w:val="33"/>
        </w:numPr>
      </w:pPr>
      <w:hyperlink r:id="rId14" w:history="1">
        <w:r>
          <w:rPr>
            <w:rFonts w:ascii="Microsoft YaHei" w:hAnsi="Microsoft YaHei" w:eastAsia="微软雅黑"/>
            <w:color w:val="0F756D"/>
            <w:u w:val="single"/>
          </w:rPr>
          <w:t>PostgreSQL License</w:t>
        </w:r>
      </w:hyperlink>
      <w:r>
        <w:rPr>
          <w:rFonts w:ascii="Arial" w:hAnsi="Arial" w:eastAsia="宋体" w:cs="Arial"/>
          <w:b w:val="0"/>
          <w:i w:val="0"/>
        </w:rPr>
        <w:t>：PostgreSQL 官方许可文本；</w:t>
      </w:r>
    </w:p>
    <w:p>
      <w:pPr>
        <w:spacing w:after="80" w:line="300" w:lineRule="auto"/>
        <w:numPr>
          <w:ilvl w:val="0"/>
          <w:numId w:val="33"/>
        </w:numPr>
      </w:pPr>
      <w:hyperlink r:id="rId15" w:history="1">
        <w:r>
          <w:rPr>
            <w:rFonts w:ascii="Microsoft YaHei" w:hAnsi="Microsoft YaHei" w:eastAsia="微软雅黑"/>
            <w:color w:val="0F756D"/>
            <w:u w:val="single"/>
          </w:rPr>
          <w:t>Redis Licenses</w:t>
        </w:r>
      </w:hyperlink>
      <w:r>
        <w:rPr>
          <w:rFonts w:ascii="Arial" w:hAnsi="Arial" w:eastAsia="宋体" w:cs="Arial"/>
          <w:b w:val="0"/>
          <w:i w:val="0"/>
        </w:rPr>
        <w:t>：Redis 7.2、7.4～7.8 与 8+ 的官方许可证分界；</w:t>
      </w:r>
    </w:p>
    <w:p>
      <w:pPr>
        <w:spacing w:after="80" w:line="300" w:lineRule="auto"/>
        <w:numPr>
          <w:ilvl w:val="0"/>
          <w:numId w:val="33"/>
        </w:numPr>
      </w:pPr>
      <w:hyperlink r:id="rId16" w:history="1">
        <w:r>
          <w:rPr>
            <w:rFonts w:ascii="Microsoft YaHei" w:hAnsi="Microsoft YaHei" w:eastAsia="微软雅黑"/>
            <w:color w:val="0F756D"/>
            <w:u w:val="single"/>
          </w:rPr>
          <w:t>Qdrant LICENSE</w:t>
        </w:r>
      </w:hyperlink>
      <w:r>
        <w:rPr>
          <w:rFonts w:ascii="Arial" w:hAnsi="Arial" w:eastAsia="宋体" w:cs="Arial"/>
          <w:b w:val="0"/>
          <w:i w:val="0"/>
        </w:rPr>
        <w:t>：Apache License 2.0；</w:t>
      </w:r>
    </w:p>
    <w:p>
      <w:pPr>
        <w:spacing w:after="80" w:line="300" w:lineRule="auto"/>
        <w:numPr>
          <w:ilvl w:val="0"/>
          <w:numId w:val="33"/>
        </w:numPr>
      </w:pPr>
      <w:hyperlink r:id="rId17" w:history="1">
        <w:r>
          <w:rPr>
            <w:rFonts w:ascii="Microsoft YaHei" w:hAnsi="Microsoft YaHei" w:eastAsia="微软雅黑"/>
            <w:color w:val="0F756D"/>
            <w:u w:val="single"/>
          </w:rPr>
          <w:t>Ollama LICENSE</w:t>
        </w:r>
      </w:hyperlink>
      <w:r>
        <w:rPr>
          <w:rFonts w:ascii="Arial" w:hAnsi="Arial" w:eastAsia="宋体" w:cs="Arial"/>
          <w:b w:val="0"/>
          <w:i w:val="0"/>
        </w:rPr>
        <w:t>：MIT License；</w:t>
      </w:r>
    </w:p>
    <w:p>
      <w:pPr>
        <w:spacing w:after="80" w:line="300" w:lineRule="auto"/>
        <w:numPr>
          <w:ilvl w:val="0"/>
          <w:numId w:val="33"/>
        </w:numPr>
      </w:pPr>
      <w:hyperlink r:id="rId18" w:history="1">
        <w:r>
          <w:rPr>
            <w:rFonts w:ascii="Microsoft YaHei" w:hAnsi="Microsoft YaHei" w:eastAsia="微软雅黑"/>
            <w:color w:val="0F756D"/>
            <w:u w:val="single"/>
          </w:rPr>
          <w:t>LightRAG 官方仓库</w:t>
        </w:r>
      </w:hyperlink>
      <w:r>
        <w:rPr>
          <w:rFonts w:ascii="Arial" w:hAnsi="Arial" w:eastAsia="宋体" w:cs="Arial"/>
          <w:b w:val="0"/>
          <w:i w:val="0"/>
        </w:rPr>
        <w:t>：仓库标记 MIT License；</w:t>
      </w:r>
    </w:p>
    <w:p>
      <w:pPr>
        <w:spacing w:after="80" w:line="300" w:lineRule="auto"/>
        <w:numPr>
          <w:ilvl w:val="0"/>
          <w:numId w:val="33"/>
        </w:numPr>
      </w:pPr>
      <w:hyperlink r:id="rId19" w:history="1">
        <w:r>
          <w:rPr>
            <w:rFonts w:ascii="Microsoft YaHei" w:hAnsi="Microsoft YaHei" w:eastAsia="微软雅黑"/>
            <w:color w:val="0F756D"/>
            <w:u w:val="single"/>
          </w:rPr>
          <w:t>BAAI/BGE-M3 模型卡</w:t>
        </w:r>
      </w:hyperlink>
      <w:r>
        <w:rPr>
          <w:rFonts w:ascii="Arial" w:hAnsi="Arial" w:eastAsia="宋体" w:cs="Arial"/>
          <w:b w:val="0"/>
          <w:i w:val="0"/>
        </w:rPr>
        <w:t>：模型卡标记 MIT，并提供模型身份和规格；</w:t>
      </w:r>
    </w:p>
    <w:p>
      <w:pPr>
        <w:spacing w:after="80" w:line="300" w:lineRule="auto"/>
        <w:numPr>
          <w:ilvl w:val="0"/>
          <w:numId w:val="33"/>
        </w:numPr>
      </w:pPr>
      <w:hyperlink r:id="rId20" w:history="1">
        <w:r>
          <w:rPr>
            <w:rFonts w:ascii="Microsoft YaHei" w:hAnsi="Microsoft YaHei" w:eastAsia="微软雅黑"/>
            <w:color w:val="0F756D"/>
            <w:u w:val="single"/>
          </w:rPr>
          <w:t>GSAP Standard License</w:t>
        </w:r>
      </w:hyperlink>
      <w:r>
        <w:rPr>
          <w:rFonts w:ascii="Arial" w:hAnsi="Arial" w:eastAsia="宋体" w:cs="Arial"/>
          <w:b w:val="0"/>
          <w:i w:val="0"/>
        </w:rPr>
        <w:t>：专用 “No Charge” 许可、允许用途与禁止用途；</w:t>
      </w:r>
    </w:p>
    <w:p>
      <w:pPr>
        <w:spacing w:after="80" w:line="300" w:lineRule="auto"/>
        <w:numPr>
          <w:ilvl w:val="0"/>
          <w:numId w:val="33"/>
        </w:numPr>
      </w:pPr>
      <w:hyperlink r:id="rId21" w:history="1">
        <w:r>
          <w:rPr>
            <w:rFonts w:ascii="Microsoft YaHei" w:hAnsi="Microsoft YaHei" w:eastAsia="微软雅黑"/>
            <w:color w:val="0F756D"/>
            <w:u w:val="single"/>
          </w:rPr>
          <w:t>pi-mono 官方仓库</w:t>
        </w:r>
      </w:hyperlink>
      <w:r>
        <w:rPr>
          <w:rFonts w:ascii="Arial" w:hAnsi="Arial" w:eastAsia="宋体" w:cs="Arial"/>
          <w:b w:val="0"/>
          <w:i w:val="0"/>
        </w:rPr>
        <w:t>：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pi-agent-core</w:t>
      </w:r>
      <w:r>
        <w:rPr>
          <w:rFonts w:ascii="Arial" w:hAnsi="Arial" w:eastAsia="宋体" w:cs="Arial"/>
          <w:b w:val="0"/>
          <w:i w:val="0"/>
        </w:rPr>
        <w:t xml:space="preserve"> 与 </w:t>
      </w:r>
      <w:r>
        <w:rPr>
          <w:rFonts w:ascii="Consolas" w:hAnsi="Consolas" w:eastAsia="微软雅黑" w:cs="Consolas"/>
          <w:b w:val="0"/>
          <w:i w:val="0"/>
          <w:color w:val="183B5B"/>
          <w:sz w:val="18"/>
          <w:shd w:val="clear" w:fill="F3F6F8"/>
        </w:rPr>
        <w:t>pi-ai</w:t>
      </w:r>
      <w:r>
        <w:rPr>
          <w:rFonts w:ascii="Arial" w:hAnsi="Arial" w:eastAsia="宋体" w:cs="Arial"/>
          <w:b w:val="0"/>
          <w:i w:val="0"/>
        </w:rPr>
        <w:t xml:space="preserve"> 上游及 MIT License；</w:t>
      </w:r>
    </w:p>
    <w:p>
      <w:pPr>
        <w:spacing w:after="80" w:line="300" w:lineRule="auto"/>
        <w:numPr>
          <w:ilvl w:val="0"/>
          <w:numId w:val="33"/>
        </w:numPr>
      </w:pPr>
      <w:hyperlink r:id="rId22" w:history="1">
        <w:r>
          <w:rPr>
            <w:rFonts w:ascii="Microsoft YaHei" w:hAnsi="Microsoft YaHei" w:eastAsia="微软雅黑"/>
            <w:color w:val="0F756D"/>
            <w:u w:val="single"/>
          </w:rPr>
          <w:t>Prisma 官方仓库</w:t>
        </w:r>
      </w:hyperlink>
      <w:r>
        <w:rPr>
          <w:rFonts w:ascii="Arial" w:hAnsi="Arial" w:eastAsia="宋体" w:cs="Arial"/>
          <w:b w:val="0"/>
          <w:i w:val="0"/>
        </w:rPr>
        <w:t>：Apache-2.0 License。</w:t>
      </w:r>
    </w:p>
    <w:p>
      <w:pPr>
        <w:pStyle w:val="AXIOMBody"/>
      </w:pPr>
      <w:r>
        <w:rPr>
          <w:rFonts w:ascii="Arial" w:hAnsi="Arial" w:eastAsia="宋体" w:cs="Arial"/>
          <w:b w:val="0"/>
          <w:i w:val="0"/>
        </w:rPr>
        <w:t>所有链接只用于帮助定位官方条款；最终发行物应保留与实际版本对应的许可证原文或不可变快照，而不能依赖网页未来永远不变。</w:t>
      </w:r>
    </w:p>
    <w:p>
      <w:pPr>
        <w:spacing w:before="240" w:after="0"/>
        <w:jc w:val="center"/>
      </w:pPr>
      <w:bookmarkStart w:id="999999" w:name="AXIOM_BOTTOM"/>
      <w:bookmarkEnd w:id="999999"/>
      <w:r>
        <w:rPr>
          <w:rFonts w:ascii="Microsoft YaHei" w:hAnsi="Microsoft YaHei" w:eastAsia="微软雅黑" w:cs="Microsoft YaHei"/>
          <w:color w:val="657487"/>
          <w:sz w:val="16"/>
        </w:rPr>
        <w:t>— 文档结束 —</w:t>
      </w:r>
    </w:p>
    <w:sectPr>
      <w:headerReference w:type="default" r:id="rId12"/>
      <w:footerReference w:type="default" r:id="rId13"/>
      <w:pgSz w:w="11906" w:h="16838"/>
      <w:pgMar w:top="1134" w:right="1247" w:bottom="1134" w:left="1247" w:header="56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dxa" w:w="9412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953"/>
      <w:gridCol w:w="3012"/>
      <w:gridCol w:w="2447"/>
    </w:tblGrid>
    <w:tr>
      <w:tc>
        <w:tcPr>
          <w:tcW w:type="dxa" w:w="3953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Microsoft YaHei" w:hAnsi="Microsoft YaHei" w:eastAsia="微软雅黑" w:cs="Microsoft YaHei"/>
              <w:color w:val="657487"/>
              <w:sz w:val="16"/>
            </w:rPr>
            <w:t>给春稗以秋实</w:t>
          </w:r>
        </w:p>
      </w:tc>
      <w:tc>
        <w:tcPr>
          <w:tcW w:type="dxa" w:w="30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center"/>
          </w:pPr>
          <w:r>
            <w:rPr>
              <w:rFonts w:ascii="Microsoft YaHei" w:hAnsi="Microsoft YaHei" w:eastAsia="微软雅黑" w:cs="Microsoft YaHei"/>
              <w:b/>
              <w:color w:val="0F756D"/>
              <w:sz w:val="16"/>
            </w:rPr>
            <w:t>DOC 08</w:t>
          </w:r>
        </w:p>
      </w:tc>
      <w:tc>
        <w:tcPr>
          <w:tcW w:type="dxa" w:w="2447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 xml:space="preserve">PAGE </w:t>
          </w:r>
          <w:r>
            <w:rPr>
              <w:rFonts w:ascii="Microsoft YaHei" w:hAnsi="Microsoft YaHei" w:eastAsia="微软雅黑" w:cs="Microsoft YaHei"/>
              <w:color w:val="657487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dxa" w:w="9411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70"/>
      <w:gridCol w:w="4141"/>
    </w:tblGrid>
    <w:tr>
      <w:tc>
        <w:tcPr>
          <w:tcW w:type="dxa" w:w="527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Microsoft YaHei" w:hAnsi="Microsoft YaHei" w:eastAsia="微软雅黑" w:cs="Microsoft YaHei"/>
              <w:b/>
              <w:color w:val="657487"/>
              <w:sz w:val="16"/>
            </w:rPr>
            <w:t>AXIOM SPACE  |  2026 年软件杯 · A3 组</w:t>
          </w:r>
        </w:p>
      </w:tc>
      <w:tc>
        <w:tcPr>
          <w:tcW w:type="dxa" w:w="4141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Microsoft YaHei" w:hAnsi="Microsoft YaHei" w:eastAsia="微软雅黑" w:cs="Microsoft YaHei"/>
              <w:color w:val="657487"/>
              <w:sz w:val="16"/>
            </w:rPr>
            <w:t>[08] 开源组件使用与合规说明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space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  <w:lvl w:ilvl="1">
      <w:start w:val="1"/>
      <w:numFmt w:val="bullet"/>
      <w:lvlText w:val="◦"/>
      <w:suff w:val="space"/>
      <w:pPr>
        <w:tabs>
          <w:tab w:val="num" w:pos="900"/>
        </w:tabs>
        <w:ind w:left="900" w:hanging="270"/>
        <w:spacing w:after="80" w:line="300" w:lineRule="auto"/>
      </w:pPr>
      <w:rPr>
        <w:rFonts w:ascii="Arial" w:hAnsi="Arial"/>
      </w:rPr>
    </w:lvl>
    <w:lvl w:ilvl="2">
      <w:start w:val="1"/>
      <w:numFmt w:val="bullet"/>
      <w:lvlText w:val="▪"/>
      <w:suff w:val="space"/>
      <w:pPr>
        <w:tabs>
          <w:tab w:val="num" w:pos="1260"/>
        </w:tabs>
        <w:ind w:left="1260" w:hanging="270"/>
        <w:spacing w:after="80" w:line="300" w:lineRule="auto"/>
      </w:pPr>
      <w:rPr>
        <w:rFonts w:ascii="Arial" w:hAnsi="Arial"/>
      </w:rPr>
    </w:lvl>
    <w:lvl w:ilvl="3">
      <w:start w:val="1"/>
      <w:numFmt w:val="bullet"/>
      <w:lvlText w:val="•"/>
      <w:suff w:val="space"/>
      <w:pPr>
        <w:tabs>
          <w:tab w:val="num" w:pos="1620"/>
        </w:tabs>
        <w:ind w:left="1620" w:hanging="270"/>
        <w:spacing w:after="80" w:line="300" w:lineRule="auto"/>
      </w:pPr>
      <w:rPr>
        <w:rFonts w:ascii="Arial" w:hAnsi="Arial"/>
      </w:rPr>
    </w:lvl>
    <w:lvl w:ilvl="4">
      <w:start w:val="1"/>
      <w:numFmt w:val="bullet"/>
      <w:lvlText w:val="◦"/>
      <w:suff w:val="space"/>
      <w:pPr>
        <w:tabs>
          <w:tab w:val="num" w:pos="1980"/>
        </w:tabs>
        <w:ind w:left="1980" w:hanging="270"/>
        <w:spacing w:after="80" w:line="300" w:lineRule="auto"/>
      </w:pPr>
      <w:rPr>
        <w:rFonts w:ascii="Arial" w:hAnsi="Arial"/>
      </w:rPr>
    </w:lvl>
    <w:lvl w:ilvl="5">
      <w:start w:val="1"/>
      <w:numFmt w:val="bullet"/>
      <w:lvlText w:val="▪"/>
      <w:suff w:val="space"/>
      <w:pPr>
        <w:tabs>
          <w:tab w:val="num" w:pos="2340"/>
        </w:tabs>
        <w:ind w:left="2340" w:hanging="270"/>
        <w:spacing w:after="80" w:line="300" w:lineRule="auto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decimal"/>
      <w:lvlText w:val="%1."/>
      <w:suff w:val="space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suff w:val="space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suff w:val="space"/>
      <w:pPr>
        <w:tabs>
          <w:tab w:val="num" w:pos="1260"/>
        </w:tabs>
        <w:ind w:left="1260" w:hanging="270"/>
        <w:spacing w:after="80" w:line="300" w:lineRule="auto"/>
      </w:pPr>
    </w:lvl>
    <w:lvl w:ilvl="3">
      <w:start w:val="1"/>
      <w:numFmt w:val="decimal"/>
      <w:lvlText w:val="%4."/>
      <w:suff w:val="space"/>
      <w:pPr>
        <w:tabs>
          <w:tab w:val="num" w:pos="1620"/>
        </w:tabs>
        <w:ind w:left="1620" w:hanging="270"/>
        <w:spacing w:after="80" w:line="300" w:lineRule="auto"/>
      </w:pPr>
    </w:lvl>
    <w:lvl w:ilvl="4">
      <w:start w:val="1"/>
      <w:numFmt w:val="decimal"/>
      <w:lvlText w:val="%5."/>
      <w:suff w:val="space"/>
      <w:pPr>
        <w:tabs>
          <w:tab w:val="num" w:pos="1980"/>
        </w:tabs>
        <w:ind w:left="1980" w:hanging="270"/>
        <w:spacing w:after="80" w:line="300" w:lineRule="auto"/>
      </w:pPr>
    </w:lvl>
    <w:lvl w:ilvl="5">
      <w:start w:val="1"/>
      <w:numFmt w:val="decimal"/>
      <w:lvlText w:val="%6."/>
      <w:suff w:val="space"/>
      <w:pPr>
        <w:tabs>
          <w:tab w:val="num" w:pos="2340"/>
        </w:tabs>
        <w:ind w:left="2340" w:hanging="270"/>
        <w:spacing w:after="80" w:line="300" w:lineRule="auto"/>
      </w:pPr>
    </w:lvl>
  </w:abstractNum>
  <w:num w:numId="10">
    <w:abstractNumId w:val="9"/>
  </w:num>
  <w:num w:numId="11">
    <w:abstractNumId w:val="9"/>
  </w:num>
  <w:num w:numId="12">
    <w:abstractNumId w:val="10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  <w:num w:numId="17">
    <w:abstractNumId w:val="9"/>
  </w:num>
  <w:num w:numId="18">
    <w:abstractNumId w:val="9"/>
  </w:num>
  <w:num w:numId="19">
    <w:abstractNumId w:val="10"/>
  </w:num>
  <w:num w:numId="20">
    <w:abstractNumId w:val="9"/>
  </w:num>
  <w:num w:numId="21">
    <w:abstractNumId w:val="9"/>
  </w:num>
  <w:num w:numId="22">
    <w:abstractNumId w:val="9"/>
  </w:num>
  <w:num w:numId="23">
    <w:abstractNumId w:val="10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10"/>
  </w:num>
  <w:num w:numId="31">
    <w:abstractNumId w:val="10"/>
  </w:num>
  <w:num w:numId="32">
    <w:abstractNumId w:val="10"/>
  </w:num>
  <w:num w:numId="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both"/>
    </w:pPr>
    <w:rPr>
      <w:rFonts w:ascii="Arial" w:hAnsi="Arial" w:eastAsia="宋体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180" w:line="276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24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F756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83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160" w:after="80" w:line="276" w:lineRule="auto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0F756D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pageBreakBefore w:val="0"/>
      <w:spacing w:before="140" w:after="60" w:line="276" w:lineRule="auto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657487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60"/>
      <w:jc w:val="center"/>
    </w:pPr>
    <w:rPr>
      <w:rFonts w:ascii="Microsoft YaHei" w:hAnsi="Microsoft YaHei" w:eastAsia="微软雅黑"/>
      <w:b/>
      <w:bCs/>
      <w:color w:val="657487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IOMBody">
    <w:name w:val="AXIOM Body"/>
    <w:basedOn w:val="Normal"/>
    <w:pPr>
      <w:ind w:firstLine="420"/>
    </w:pPr>
  </w:style>
  <w:style w:type="paragraph" w:customStyle="1" w:styleId="AXIOMQuote">
    <w:name w:val="AXIOM Quote"/>
    <w:basedOn w:val="Normal"/>
    <w:pPr>
      <w:spacing w:before="100" w:after="140" w:line="288" w:lineRule="auto"/>
      <w:ind w:left="283" w:right="170"/>
    </w:pPr>
  </w:style>
  <w:style w:type="paragraph" w:customStyle="1" w:styleId="AXIOMCode">
    <w:name w:val="AXIOM Code"/>
    <w:pPr>
      <w:spacing w:before="0" w:after="0" w:line="240" w:lineRule="auto"/>
      <w:ind w:left="227" w:right="113"/>
    </w:pPr>
    <w:rPr>
      <w:rFonts w:ascii="Consolas" w:hAnsi="Consolas" w:eastAsia="微软雅黑"/>
      <w:color w:val="1722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yperlink" Target="https://www.postgresql.org/about/licence/" TargetMode="External"/><Relationship Id="rId15" Type="http://schemas.openxmlformats.org/officeDocument/2006/relationships/hyperlink" Target="https://redis.io/legal/licenses/" TargetMode="External"/><Relationship Id="rId16" Type="http://schemas.openxmlformats.org/officeDocument/2006/relationships/hyperlink" Target="https://github.com/qdrant/qdrant/blob/master/LICENSE" TargetMode="External"/><Relationship Id="rId17" Type="http://schemas.openxmlformats.org/officeDocument/2006/relationships/hyperlink" Target="https://github.com/ollama/ollama/blob/main/LICENSE" TargetMode="External"/><Relationship Id="rId18" Type="http://schemas.openxmlformats.org/officeDocument/2006/relationships/hyperlink" Target="https://github.com/HKUDS/LightRAG" TargetMode="External"/><Relationship Id="rId19" Type="http://schemas.openxmlformats.org/officeDocument/2006/relationships/hyperlink" Target="https://huggingface.co/BAAI/bge-m3" TargetMode="External"/><Relationship Id="rId20" Type="http://schemas.openxmlformats.org/officeDocument/2006/relationships/hyperlink" Target="https://gsap.com/community/standard-license/" TargetMode="External"/><Relationship Id="rId21" Type="http://schemas.openxmlformats.org/officeDocument/2006/relationships/hyperlink" Target="https://github.com/badlogic/pi-mono" TargetMode="External"/><Relationship Id="rId22" Type="http://schemas.openxmlformats.org/officeDocument/2006/relationships/hyperlink" Target="https://github.com/prisma/pris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AXIOM Space 开源组件使用与合规说明</dc:title>
  <dc:subject>2026 年软件杯 · A3 组</dc:subject>
  <dc:creator/>
  <cp:keywords>AXIOM Space, 软件杯, A3, 给春稗以秋实, 08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