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团队级 AI Coding 方法论</w:t>
        <w:br/>
        <w:t>与 AI 辅助开发流程说明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Team-level AI Coding Methodology &amp; Development Workflow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完整呈现团队研究并实践的 Rules、Specification、Skills、Loop 与 Harness 方法论。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文档编号：09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09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完整呈现团队研究并实践的 Rules、Specification、Skills、Loop 与 Harness 方法论。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文档编号：09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文档性质：团队级 AI Coding 方法论、工程流程与工具使用说明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方法论真源：团队内部研究成果《团队级 AI Coding 简明手册 v0.2》（2026.06，共 30 页）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核心职责：完整说明团队如何用 Rules、Specification、Skills、Loop Engineering 与 Harness Engineering 组织 AI 软件开发，以及这套方法在 AXIOM Space 中如何被实践和验证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关联文档：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03-系统设计与开发说明书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04-测试说明书与测试报告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08-开源组件使用与合规说明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9a7ac886" w:history="1">
        <w:r>
          <w:rPr>
            <w:rFonts w:ascii="Microsoft YaHei" w:hAnsi="Microsoft YaHei" w:eastAsia="微软雅黑"/>
            <w:color w:val="10243E"/>
            <w:b/>
            <w:u w:val="none"/>
          </w:rPr>
          <w:t>方法论结论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71fc6f80" w:history="1">
        <w:r>
          <w:rPr>
            <w:rFonts w:ascii="Microsoft YaHei" w:hAnsi="Microsoft YaHei" w:eastAsia="微软雅黑"/>
            <w:color w:val="10243E"/>
            <w:b/>
            <w:u w:val="none"/>
          </w:rPr>
          <w:t>1. 第一性原理与总体设计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_9c6675bf" w:history="1">
        <w:r>
          <w:rPr>
            <w:rFonts w:ascii="Microsoft YaHei" w:hAnsi="Microsoft YaHei" w:eastAsia="微软雅黑"/>
            <w:color w:val="0F756D"/>
            <w:u w:val="none"/>
          </w:rPr>
          <w:t>1.1 根问题：怎样治理非确定性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_a5fa96bc" w:history="1">
        <w:r>
          <w:rPr>
            <w:rFonts w:ascii="Microsoft YaHei" w:hAnsi="Microsoft YaHei" w:eastAsia="微软雅黑"/>
            <w:color w:val="0F756D"/>
            <w:u w:val="none"/>
          </w:rPr>
          <w:t>1.2 四个不可互相替代的部件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_e5ac534c" w:history="1">
        <w:r>
          <w:rPr>
            <w:rFonts w:ascii="Microsoft YaHei" w:hAnsi="Microsoft YaHei" w:eastAsia="微软雅黑"/>
            <w:color w:val="0F756D"/>
            <w:u w:val="none"/>
          </w:rPr>
          <w:t>1.3 用具体问题描述处境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_a1f98559" w:history="1">
        <w:r>
          <w:rPr>
            <w:rFonts w:ascii="Microsoft YaHei" w:hAnsi="Microsoft YaHei" w:eastAsia="微软雅黑"/>
            <w:color w:val="0F756D"/>
            <w:u w:val="none"/>
          </w:rPr>
          <w:t>1.4 软件开发实现地图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_bdf510cb" w:history="1">
        <w:r>
          <w:rPr>
            <w:rFonts w:ascii="Microsoft YaHei" w:hAnsi="Microsoft YaHei" w:eastAsia="微软雅黑"/>
            <w:color w:val="0F756D"/>
            <w:u w:val="none"/>
          </w:rPr>
          <w:t>1.5 软件开发工具体系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8_f4f3fa8f" w:history="1">
        <w:r>
          <w:rPr>
            <w:rFonts w:ascii="Microsoft YaHei" w:hAnsi="Microsoft YaHei" w:eastAsia="微软雅黑"/>
            <w:color w:val="10243E"/>
            <w:b/>
            <w:u w:val="none"/>
          </w:rPr>
          <w:t>2. 需求衔接：把需求变成 AI 可执行规格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9_195b0bda" w:history="1">
        <w:r>
          <w:rPr>
            <w:rFonts w:ascii="Microsoft YaHei" w:hAnsi="Microsoft YaHei" w:eastAsia="微软雅黑"/>
            <w:color w:val="0F756D"/>
            <w:u w:val="none"/>
          </w:rPr>
          <w:t>2.1 需求规格的四元结构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4_83dbba3f" w:history="1">
        <w:r>
          <w:rPr>
            <w:rFonts w:ascii="Microsoft YaHei" w:hAnsi="Microsoft YaHei" w:eastAsia="微软雅黑"/>
            <w:color w:val="0F756D"/>
            <w:u w:val="none"/>
          </w:rPr>
          <w:t>2.2 原型与设计系统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5_5bda5f4d" w:history="1">
        <w:r>
          <w:rPr>
            <w:rFonts w:ascii="Microsoft YaHei" w:hAnsi="Microsoft YaHei" w:eastAsia="微软雅黑"/>
            <w:color w:val="0F756D"/>
            <w:u w:val="none"/>
          </w:rPr>
          <w:t>2.3 从需求到测试的无损传递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6_d813dd8d" w:history="1">
        <w:r>
          <w:rPr>
            <w:rFonts w:ascii="Microsoft YaHei" w:hAnsi="Microsoft YaHei" w:eastAsia="微软雅黑"/>
            <w:color w:val="0F756D"/>
            <w:u w:val="none"/>
          </w:rPr>
          <w:t>2.4 AXIOM Space 的实践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17_44c48b7c" w:history="1">
        <w:r>
          <w:rPr>
            <w:rFonts w:ascii="Microsoft YaHei" w:hAnsi="Microsoft YaHei" w:eastAsia="微软雅黑"/>
            <w:color w:val="10243E"/>
            <w:b/>
            <w:u w:val="none"/>
          </w:rPr>
          <w:t>3. 开发实现：让 AI 在项目约束内持续工作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8_7c1023d5" w:history="1">
        <w:r>
          <w:rPr>
            <w:rFonts w:ascii="Microsoft YaHei" w:hAnsi="Microsoft YaHei" w:eastAsia="微软雅黑"/>
            <w:color w:val="0F756D"/>
            <w:u w:val="none"/>
          </w:rPr>
          <w:t>3.1 Rules、Specification、Skills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19_ed67672a" w:history="1">
        <w:r>
          <w:rPr>
            <w:rFonts w:ascii="Microsoft YaHei" w:hAnsi="Microsoft YaHei" w:eastAsia="微软雅黑"/>
            <w:color w:val="0F756D"/>
            <w:u w:val="none"/>
          </w:rPr>
          <w:t>3.2 AI 上下文体系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0_379fb8d4" w:history="1">
        <w:r>
          <w:rPr>
            <w:rFonts w:ascii="Microsoft YaHei" w:hAnsi="Microsoft YaHei" w:eastAsia="微软雅黑"/>
            <w:color w:val="0F756D"/>
            <w:u w:val="none"/>
          </w:rPr>
          <w:t>3.3 Plan/Go 规格流转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1_7bb53766" w:history="1">
        <w:r>
          <w:rPr>
            <w:rFonts w:ascii="Microsoft YaHei" w:hAnsi="Microsoft YaHei" w:eastAsia="微软雅黑"/>
            <w:color w:val="0F756D"/>
            <w:u w:val="none"/>
          </w:rPr>
          <w:t>3.4 外部工具的三种接入方式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2_a1409d22" w:history="1">
        <w:r>
          <w:rPr>
            <w:rFonts w:ascii="Microsoft YaHei" w:hAnsi="Microsoft YaHei" w:eastAsia="微软雅黑"/>
            <w:color w:val="0F756D"/>
            <w:u w:val="none"/>
          </w:rPr>
          <w:t>3.5 AI 编程工具分层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3_f95ce20a" w:history="1">
        <w:r>
          <w:rPr>
            <w:rFonts w:ascii="Microsoft YaHei" w:hAnsi="Microsoft YaHei" w:eastAsia="微软雅黑"/>
            <w:color w:val="0F756D"/>
            <w:u w:val="none"/>
          </w:rPr>
          <w:t>3.6 SDD 框架比较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4_ea46081c" w:history="1">
        <w:r>
          <w:rPr>
            <w:rFonts w:ascii="Microsoft YaHei" w:hAnsi="Microsoft YaHei" w:eastAsia="微软雅黑"/>
            <w:color w:val="0F756D"/>
            <w:u w:val="none"/>
          </w:rPr>
          <w:t>3.7 Superpower 的七段工程顺序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5_3e938158" w:history="1">
        <w:r>
          <w:rPr>
            <w:rFonts w:ascii="Microsoft YaHei" w:hAnsi="Microsoft YaHei" w:eastAsia="微软雅黑"/>
            <w:color w:val="0F756D"/>
            <w:u w:val="none"/>
          </w:rPr>
          <w:t>3.8 技术规格采用可执行 DSL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6_e25fd26b" w:history="1">
        <w:r>
          <w:rPr>
            <w:rFonts w:ascii="Microsoft YaHei" w:hAnsi="Microsoft YaHei" w:eastAsia="微软雅黑"/>
            <w:color w:val="0F756D"/>
            <w:u w:val="none"/>
          </w:rPr>
          <w:t>3.9 打样工程：让 AI 有正确作业可抄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7_e789d5ff" w:history="1">
        <w:r>
          <w:rPr>
            <w:rFonts w:ascii="Microsoft YaHei" w:hAnsi="Microsoft YaHei" w:eastAsia="微软雅黑"/>
            <w:color w:val="0F756D"/>
            <w:u w:val="none"/>
          </w:rPr>
          <w:t>3.10 多任务同步开发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28_dc14992b" w:history="1">
        <w:r>
          <w:rPr>
            <w:rFonts w:ascii="Microsoft YaHei" w:hAnsi="Microsoft YaHei" w:eastAsia="微软雅黑"/>
            <w:color w:val="0F756D"/>
            <w:u w:val="none"/>
          </w:rPr>
          <w:t>3.11 研发自测核心 Loop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29_2f37c214" w:history="1">
        <w:r>
          <w:rPr>
            <w:rFonts w:ascii="Microsoft YaHei" w:hAnsi="Microsoft YaHei" w:eastAsia="微软雅黑"/>
            <w:color w:val="10243E"/>
            <w:b/>
            <w:u w:val="none"/>
          </w:rPr>
          <w:t>4. 测试验收：用反馈闭环控制 AI 质量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0_c1e88df0" w:history="1">
        <w:r>
          <w:rPr>
            <w:rFonts w:ascii="Microsoft YaHei" w:hAnsi="Microsoft YaHei" w:eastAsia="微软雅黑"/>
            <w:color w:val="0F756D"/>
            <w:u w:val="none"/>
          </w:rPr>
          <w:t>4.1 AI 辅助下的分层测试策略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1_27c7b0d5" w:history="1">
        <w:r>
          <w:rPr>
            <w:rFonts w:ascii="Microsoft YaHei" w:hAnsi="Microsoft YaHei" w:eastAsia="微软雅黑"/>
            <w:color w:val="0F756D"/>
            <w:u w:val="none"/>
          </w:rPr>
          <w:t>4.2 浏览器工具选择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2_0a4b3332" w:history="1">
        <w:r>
          <w:rPr>
            <w:rFonts w:ascii="Microsoft YaHei" w:hAnsi="Microsoft YaHei" w:eastAsia="微软雅黑"/>
            <w:color w:val="0F756D"/>
            <w:u w:val="none"/>
          </w:rPr>
          <w:t>4.3 从测试用例生成 E2E 的三段法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6_a127b92f" w:history="1">
        <w:r>
          <w:rPr>
            <w:rFonts w:ascii="Microsoft YaHei" w:hAnsi="Microsoft YaHei" w:eastAsia="微软雅黑"/>
            <w:color w:val="0F756D"/>
            <w:u w:val="none"/>
          </w:rPr>
          <w:t>4.4 Playwright 脚本的最小结构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7_881e59c1" w:history="1">
        <w:r>
          <w:rPr>
            <w:rFonts w:ascii="Microsoft YaHei" w:hAnsi="Microsoft YaHei" w:eastAsia="微软雅黑"/>
            <w:color w:val="0F756D"/>
            <w:u w:val="none"/>
          </w:rPr>
          <w:t>4.5 E2E 超级 Loop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38_d85d280d" w:history="1">
        <w:r>
          <w:rPr>
            <w:rFonts w:ascii="Microsoft YaHei" w:hAnsi="Microsoft YaHei" w:eastAsia="微软雅黑"/>
            <w:color w:val="0F756D"/>
            <w:u w:val="none"/>
          </w:rPr>
          <w:t>4.6 AXIOM Space 的浏览器双轨实践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39_4be2b3a3" w:history="1">
        <w:r>
          <w:rPr>
            <w:rFonts w:ascii="Microsoft YaHei" w:hAnsi="Microsoft YaHei" w:eastAsia="微软雅黑"/>
            <w:color w:val="10243E"/>
            <w:b/>
            <w:u w:val="none"/>
          </w:rPr>
          <w:t>5. Agent as Code：把 AI 工程能力纳入仓库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0_eec6f951" w:history="1">
        <w:r>
          <w:rPr>
            <w:rFonts w:ascii="Microsoft YaHei" w:hAnsi="Microsoft YaHei" w:eastAsia="微软雅黑"/>
            <w:color w:val="0F756D"/>
            <w:u w:val="none"/>
          </w:rPr>
          <w:t>5.1 工作定义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1_4c765afc" w:history="1">
        <w:r>
          <w:rPr>
            <w:rFonts w:ascii="Microsoft YaHei" w:hAnsi="Microsoft YaHei" w:eastAsia="微软雅黑"/>
            <w:color w:val="0F756D"/>
            <w:u w:val="none"/>
          </w:rPr>
          <w:t>5.2 多工具共享的文件设计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2_baef02a4" w:history="1">
        <w:r>
          <w:rPr>
            <w:rFonts w:ascii="Microsoft YaHei" w:hAnsi="Microsoft YaHei" w:eastAsia="微软雅黑"/>
            <w:color w:val="0F756D"/>
            <w:u w:val="none"/>
          </w:rPr>
          <w:t>5.3 AXIOM Space 的实现方式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43_cecdf2b4" w:history="1">
        <w:r>
          <w:rPr>
            <w:rFonts w:ascii="Microsoft YaHei" w:hAnsi="Microsoft YaHei" w:eastAsia="微软雅黑"/>
            <w:color w:val="10243E"/>
            <w:b/>
            <w:u w:val="none"/>
          </w:rPr>
          <w:t>6. 团队实践验证与最终方法论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44_55db77c8" w:history="1">
        <w:r>
          <w:rPr>
            <w:rFonts w:ascii="Microsoft YaHei" w:hAnsi="Microsoft YaHei" w:eastAsia="微软雅黑"/>
            <w:color w:val="0F756D"/>
            <w:u w:val="none"/>
          </w:rPr>
          <w:t>6.1 我们具体设计了什么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1_0620ad9c" w:history="1">
        <w:r>
          <w:rPr>
            <w:rFonts w:ascii="Microsoft YaHei" w:hAnsi="Microsoft YaHei" w:eastAsia="微软雅黑"/>
            <w:color w:val="0F756D"/>
            <w:u w:val="none"/>
          </w:rPr>
          <w:t>6.2 我们具体检验了什么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7_2f97c23a" w:history="1">
        <w:r>
          <w:rPr>
            <w:rFonts w:ascii="Microsoft YaHei" w:hAnsi="Microsoft YaHei" w:eastAsia="微软雅黑"/>
            <w:color w:val="0F756D"/>
            <w:u w:val="none"/>
          </w:rPr>
          <w:t>6.3 实践中得到的七条方法论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8_c4770345" w:history="1">
        <w:r>
          <w:rPr>
            <w:rFonts w:ascii="Microsoft YaHei" w:hAnsi="Microsoft YaHei" w:eastAsia="微软雅黑"/>
            <w:color w:val="0F756D"/>
            <w:u w:val="none"/>
          </w:rPr>
          <w:t>6.4 哪些内容是已采用、选型参考和按需启用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59_45bf6a33" w:history="1">
        <w:r>
          <w:rPr>
            <w:rFonts w:ascii="Microsoft YaHei" w:hAnsi="Microsoft YaHei" w:eastAsia="微软雅黑"/>
            <w:color w:val="0F756D"/>
            <w:u w:val="none"/>
          </w:rPr>
          <w:t>6.5 最终工作法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60_1f39e97c" w:history="1">
        <w:r>
          <w:rPr>
            <w:rFonts w:ascii="Microsoft YaHei" w:hAnsi="Microsoft YaHei" w:eastAsia="微软雅黑"/>
            <w:color w:val="10243E"/>
            <w:b/>
            <w:u w:val="none"/>
          </w:rPr>
          <w:t>7. AXIOM Space 的落地旁证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1_2e60c08f" w:history="1">
        <w:r>
          <w:rPr>
            <w:rFonts w:ascii="Microsoft YaHei" w:hAnsi="Microsoft YaHei" w:eastAsia="微软雅黑"/>
            <w:color w:val="0F756D"/>
            <w:u w:val="none"/>
          </w:rPr>
          <w:t>7.1 开发阶段 AI 工具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2_a3f18a89" w:history="1">
        <w:r>
          <w:rPr>
            <w:rFonts w:ascii="Microsoft YaHei" w:hAnsi="Microsoft YaHei" w:eastAsia="微软雅黑"/>
            <w:color w:val="0F756D"/>
            <w:u w:val="none"/>
          </w:rPr>
          <w:t>7.2 产品运行时 AI 能力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3_efd2a7f4" w:history="1">
        <w:r>
          <w:rPr>
            <w:rFonts w:ascii="Microsoft YaHei" w:hAnsi="Microsoft YaHei" w:eastAsia="微软雅黑"/>
            <w:color w:val="0F756D"/>
            <w:u w:val="none"/>
          </w:rPr>
          <w:t>7.3 项目文档与方法论的对应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64_f4760324" w:history="1">
        <w:r>
          <w:rPr>
            <w:rFonts w:ascii="Microsoft YaHei" w:hAnsi="Microsoft YaHei" w:eastAsia="微软雅黑"/>
            <w:color w:val="10243E"/>
            <w:b/>
            <w:u w:val="none"/>
          </w:rPr>
          <w:t>8. 30 页 PPT 逐页研究与执行说明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5_4583f0e6" w:history="1">
        <w:r>
          <w:rPr>
            <w:rFonts w:ascii="Microsoft YaHei" w:hAnsi="Microsoft YaHei" w:eastAsia="微软雅黑"/>
            <w:color w:val="0F756D"/>
            <w:u w:val="none"/>
          </w:rPr>
          <w:t>8.1 第 1—5 页：方法论全景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6_93ccda42" w:history="1">
        <w:r>
          <w:rPr>
            <w:rFonts w:ascii="Microsoft YaHei" w:hAnsi="Microsoft YaHei" w:eastAsia="微软雅黑"/>
            <w:color w:val="0F756D"/>
            <w:u w:val="none"/>
          </w:rPr>
          <w:t>8.2 第 6—19 页：需求衔接与开发实现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7_8e6eeb09" w:history="1">
        <w:r>
          <w:rPr>
            <w:rFonts w:ascii="Microsoft YaHei" w:hAnsi="Microsoft YaHei" w:eastAsia="微软雅黑"/>
            <w:color w:val="0F756D"/>
            <w:u w:val="none"/>
          </w:rPr>
          <w:t>8.3 第 20—27 页：测试验收与 Agent as Code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68_74c41f2f" w:history="1">
        <w:r>
          <w:rPr>
            <w:rFonts w:ascii="Microsoft YaHei" w:hAnsi="Microsoft YaHei" w:eastAsia="微软雅黑"/>
            <w:color w:val="0F756D"/>
            <w:u w:val="none"/>
          </w:rPr>
          <w:t>8.4 第 28—30 页：研究边界与最终判断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69_d7e2b987" w:history="1">
        <w:r>
          <w:rPr>
            <w:rFonts w:ascii="Microsoft YaHei" w:hAnsi="Microsoft YaHei" w:eastAsia="微软雅黑"/>
            <w:color w:val="10243E"/>
            <w:b/>
            <w:u w:val="none"/>
          </w:rPr>
          <w:t>9. 参考资料与采用边界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0_8c4607dd" w:history="1">
        <w:r>
          <w:rPr>
            <w:rFonts w:ascii="Microsoft YaHei" w:hAnsi="Microsoft YaHei" w:eastAsia="微软雅黑"/>
            <w:color w:val="0F756D"/>
            <w:u w:val="none"/>
          </w:rPr>
          <w:t>9.1 手册列出的研究入口</w:t>
        </w:r>
      </w:hyperlink>
    </w:p>
    <w:p>
      <w:pPr>
        <w:keepLines/>
        <w:spacing w:before="0" w:after="40"/>
        <w:ind w:left="397" w:firstLine="0"/>
      </w:pPr>
      <w:r>
        <w:rPr>
          <w:rFonts w:ascii="Microsoft YaHei" w:hAnsi="Microsoft YaHei" w:eastAsia="微软雅黑" w:cs="Microsoft YaHei"/>
          <w:b/>
          <w:color w:val="657487"/>
          <w:sz w:val="18"/>
        </w:rPr>
        <w:t xml:space="preserve">·  </w:t>
      </w:r>
      <w:hyperlink w:anchor="AXH_71_68b8063e" w:history="1">
        <w:r>
          <w:rPr>
            <w:rFonts w:ascii="Microsoft YaHei" w:hAnsi="Microsoft YaHei" w:eastAsia="微软雅黑"/>
            <w:color w:val="0F756D"/>
            <w:u w:val="none"/>
          </w:rPr>
          <w:t>9.2 采用边界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72_fd4a21f9" w:history="1">
        <w:r>
          <w:rPr>
            <w:rFonts w:ascii="Microsoft YaHei" w:hAnsi="Microsoft YaHei" w:eastAsia="微软雅黑"/>
            <w:color w:val="10243E"/>
            <w:b/>
            <w:u w:val="none"/>
          </w:rPr>
          <w:t>结语</w:t>
        </w:r>
      </w:hyperlink>
    </w:p>
    <w:p>
      <w:r>
        <w:br w:type="page"/>
      </w:r>
    </w:p>
    <w:p>
      <w:bookmarkStart w:id="101" w:name="AXH_1_9a7ac886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方法论结论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 AI Coding 方法不是“让 AI 多写代码”，而是把一个非确定性生成器纳入确定的软件工程：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Rules 管行为边界，Specification 管目标事实，Skills 管可复用能力，Loop 管失败后的持续收敛，Harness 管上下文、工具、权限、测试和证据的整体运行环境。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团队对 AI 编程思想进行了五阶段研究，并将项目工作方式推进到 Harness Engineering：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19"/>
        <w:gridCol w:w="2250"/>
        <w:gridCol w:w="2376"/>
        <w:gridCol w:w="2946"/>
      </w:tblGrid>
      <w:tr>
        <w:trPr>
          <w:tblHeader w:val="true"/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核心变化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仍未解决的问题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的处理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原始 AI 编程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从问答或 AI IDE 获得代码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上下文靠人重复输入，结果不可复现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不作为团队工程方式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 约束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明确能做什么、不能做什么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能约束行为，不能定义本轮目标和完成条件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 AGENTS.md、CLAUDE.md、目录规范和权限配置固化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将需求和技术设计结构化为 Spec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有规格仍可能在首次生成后过早停止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建立商业→研究→MVP→PRD→DDD→TDD→测试计划的规格链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Loop Engineering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让测试失败自动返回实现环节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循环仍需要稳定上下文、工具和权限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建立核心研发自测 Loop 与 E2E 超级 Loop</w:t>
            </w:r>
          </w:p>
        </w:tc>
      </w:tr>
      <w:tr>
        <w:trPr>
          <w:cantSplit w:val="true"/>
        </w:trPr>
        <w:tc>
          <w:tcPr>
            <w:tcW w:type="dxa" w:w="1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Harness Engineering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 AI 纳入项目治理体系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—</w:t>
            </w:r>
          </w:p>
        </w:tc>
        <w:tc>
          <w:tcPr>
            <w:tcW w:type="dxa" w:w="29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将规则、规格、脚本、模型工具、测试、浏览器和证据统一放入仓库治理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这套方法形成了四项可复核成果：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需求可以无损传递：</w:t>
      </w:r>
      <w:r>
        <w:rPr>
          <w:rFonts w:ascii="Arial" w:hAnsi="Arial" w:eastAsia="宋体" w:cs="Arial"/>
          <w:b w:val="0"/>
          <w:i w:val="0"/>
        </w:rPr>
        <w:t xml:space="preserve"> 从用户问题、字段、原型和规则，一直传到领域对象、接口、测试和页面。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AI 可以持续执行：</w:t>
      </w:r>
      <w:r>
        <w:rPr>
          <w:rFonts w:ascii="Arial" w:hAnsi="Arial" w:eastAsia="宋体" w:cs="Arial"/>
          <w:b w:val="0"/>
          <w:i w:val="0"/>
        </w:rPr>
        <w:t xml:space="preserve"> Plan 锁定上下文，测试提供反馈，失败返回循环，满足准出条件后才退出。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工具可以按责任组合：</w:t>
      </w:r>
      <w:r>
        <w:rPr>
          <w:rFonts w:ascii="Arial" w:hAnsi="Arial" w:eastAsia="宋体" w:cs="Arial"/>
          <w:b w:val="0"/>
          <w:i w:val="0"/>
        </w:rPr>
        <w:t xml:space="preserve"> MCP 负责标准连接，Skills 负责复用能力，Commands 负责直接执行，Browser Use 与 Playwright 分别承担探索和固化。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/>
          <w:i w:val="0"/>
        </w:rPr>
        <w:t>经验可以成为团队资产：</w:t>
      </w:r>
      <w:r>
        <w:rPr>
          <w:rFonts w:ascii="Arial" w:hAnsi="Arial" w:eastAsia="宋体" w:cs="Arial"/>
          <w:b w:val="0"/>
          <w:i w:val="0"/>
        </w:rPr>
        <w:t xml:space="preserve"> 项目规则、规格、打样代码、测试用例、失败记录和证据随仓库版本化，不随一次对话消失。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已经形成对应的工程证据：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方法资产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仓库中的事实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规格链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docs/01-SDD-文档驱动开发流程/ 下 8 个连续阶段文档和《开发技术规范》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决策过程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docs/02-决策与开发过程记录/ 下 10 个专题决策记录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项目宪法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AGENTS.md、CLAUDE.md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工具配置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.codex/config.toml、.claude/settings.local.json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可执行规格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 条稳定编号 SDD 用例，覆盖主链路、对象、服务、事件、Agent、UI 和优先级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机器反馈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Node 验收、数据库/API/Agent/Sidecar/UI 测试、Playwright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浏览器探索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scripts/a3_browser_use.py，包含场景任务、页面安全边界、PASS/PARTIAL/FAIL 和证据输出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固化回归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test/e2e/sdd-ui.spec.ts 与 playwright.config.ts</w:t>
            </w:r>
          </w:p>
        </w:tc>
      </w:tr>
    </w:tbl>
    <w:p>
      <w:pPr>
        <w:spacing w:after="40"/>
      </w:pPr>
    </w:p>
    <w:p>
      <w:bookmarkStart w:id="102" w:name="AXH_2_71fc6f8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第一性原理与总体设计</w:t>
      </w:r>
      <w:bookmarkEnd w:id="102"/>
    </w:p>
    <w:p>
      <w:bookmarkStart w:id="103" w:name="AXH_3_9c6675bf"/>
      <w:pPr>
        <w:pStyle w:val="Heading2"/>
      </w:pPr>
      <w:r>
        <w:rPr>
          <w:rFonts w:ascii="Arial" w:hAnsi="Arial" w:eastAsia="宋体" w:cs="Arial"/>
          <w:b/>
          <w:i w:val="0"/>
        </w:rPr>
        <w:t>1.1 根问题：怎样治理非确定性</w:t>
      </w:r>
      <w:bookmarkEnd w:id="1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软件工程要求可重复、可追溯、可验收；大模型输出具有概率性。同一任务在上下文、模型版本、工具状态或表达方式变化时，可能得到不同结果。因此，团队级 AI Coding 的根问题不是“模型会不会写代码”，而是：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怎样让一个非确定性生成器，在确定的业务目标、工程边界和准出标准内持续工作，直到形成可接受结果。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这要求同时控制六个变量：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变量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必须被固定的内容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服务谁、解决什么、成功是什么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上下文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当前架构、对象、接口、历史决定和现有代码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行为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允许修改什么、禁止越过什么、必须遵守什么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可以调用哪些工具、脚本、模型和外部系统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反馈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哪些测试、浏览器结果和人工检查决定继续或退出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责任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谁批准计划、谁接受变更、谁承担最终提交责任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任何一项缺失，AI 的速度都可能转化为返工；六项同时成立，AI 才从个人效率工具升级为团队工程能力。</w:t>
      </w:r>
    </w:p>
    <w:p>
      <w:bookmarkStart w:id="104" w:name="AXH_4_a5fa96bc"/>
      <w:pPr>
        <w:pStyle w:val="Heading2"/>
      </w:pPr>
      <w:r>
        <w:rPr>
          <w:rFonts w:ascii="Arial" w:hAnsi="Arial" w:eastAsia="宋体" w:cs="Arial"/>
          <w:b/>
          <w:i w:val="0"/>
        </w:rPr>
        <w:t>1.2 四个不可互相替代的部件</w:t>
      </w:r>
      <w:bookmarkEnd w:id="10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50"/>
        <w:gridCol w:w="2413"/>
        <w:gridCol w:w="2694"/>
        <w:gridCol w:w="2634"/>
      </w:tblGrid>
      <w:tr>
        <w:trPr>
          <w:tblHeader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部件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工作定义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典型内容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单独使用的局限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Rules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约束 AI 行为的边界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架构、命名、目录、禁止事项、权限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不知道本轮究竟要实现什么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Specification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将模糊要求收敛为事实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需求、字段、领域模型、API、验收标准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不负责实际执行，也不能保证完成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将提示词、脚本、模板和工具封装为能力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测试、部署、检索、生成、审查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不能自行决定产品目标和授权范围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Loop</w:t>
            </w:r>
          </w:p>
        </w:tc>
        <w:tc>
          <w:tcPr>
            <w:tcW w:type="dxa" w:w="2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让输出接受反馈并反复修复</w:t>
            </w:r>
          </w:p>
        </w:tc>
        <w:tc>
          <w:tcPr>
            <w:tcW w:type="dxa" w:w="26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RED/GREEN、API 测试、浏览器调试、E2E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没有 Harness 时，每次仍要重新搭环境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Harness 位于四者之上：它不是另一个大模型，也不是一个万能插件，而是把 Rules、Specification、Skills、Loop、权限和证据组织成一个项目专用运行环境。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五阶段中的典型实践也有明确差异：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原始阶段依赖从浏览器复制代码，或通过问答、AI IDE 反复交互；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Rule 阶段以 RIPER-5 等方式规定模型在不同工作模式下怎样处理任务，但需求仍主要靠持续对话输入；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SDD 阶段以 OpenSpec 等规格流转方式实现“文件进、文件出”，需求不再只存在于聊天；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Loop Engineering 为任务建立验收规则和测试套件，让输出失败后自动返回循环；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Harness Engineering 进一步为 AI 提供项目约束体系和外部接口，使合格代码成为工程环境的产物，而不是一次偶然生成。</w:t>
      </w:r>
    </w:p>
    <w:p>
      <w:bookmarkStart w:id="105" w:name="AXH_5_e5ac534c"/>
      <w:pPr>
        <w:pStyle w:val="Heading2"/>
      </w:pPr>
      <w:r>
        <w:rPr>
          <w:rFonts w:ascii="Arial" w:hAnsi="Arial" w:eastAsia="宋体" w:cs="Arial"/>
          <w:b/>
          <w:i w:val="0"/>
        </w:rPr>
        <w:t>1.3 用具体问题描述处境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手册将团队面临的问题拆成四个问题域。这个分解先确定工程责任，再选择工具。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问题域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需要解决的问题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必须形成的产物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需求衔接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怎样理解新需求、存量修改、字段、原型和规则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需求模板、字段表、原型映射、可测试规则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开发实现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怎样获得上下文、调用工具、保持代码一致并并行工作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规则、规格、Skills、打样工程、Plan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测试验收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怎样从规格生成测试、操作浏览器、判断失败并回归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分层测试、Browser Use、Playwright、Bug 证据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as Code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协作文件怎样进入仓库并被多工具共享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项目宪法、文档真源、AI 目录、配置与权限</w:t>
            </w:r>
          </w:p>
        </w:tc>
      </w:tr>
    </w:tbl>
    <w:p>
      <w:pPr>
        <w:spacing w:after="40"/>
      </w:pPr>
    </w:p>
    <w:p>
      <w:bookmarkStart w:id="106" w:name="AXH_6_a1f98559"/>
      <w:pPr>
        <w:pStyle w:val="Heading2"/>
      </w:pPr>
      <w:r>
        <w:rPr>
          <w:rFonts w:ascii="Arial" w:hAnsi="Arial" w:eastAsia="宋体" w:cs="Arial"/>
          <w:b/>
          <w:i w:val="0"/>
        </w:rPr>
        <w:t>1.4 软件开发实现地图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手册设计的不是“编码阶段使用 AI”，而是覆盖需求分析、技术方案、编码、研发自测和 QA 测试的完整地图。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47721" cy="6629400"/>
            <wp:docPr id="2" name="Picture 2" descr="1.4 软件开发实现地图（流程/架构图）" title="1.4 软件开发实现地图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11a7d6cb623c414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7721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1.4 软件开发实现地图（流程/架构图）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图中存在两个不同尺度的循环：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研发自测核心 Loop：</w:t>
      </w:r>
      <w:r>
        <w:rPr>
          <w:rFonts w:ascii="Arial" w:hAnsi="Arial" w:eastAsia="宋体" w:cs="Arial"/>
          <w:b w:val="0"/>
          <w:i w:val="0"/>
        </w:rPr>
        <w:t xml:space="preserve"> AI 编码、单元/API 测试、浏览器调试、Bug 修复之间的快速循环；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/>
          <w:i w:val="0"/>
        </w:rPr>
        <w:t>全流程超级 Loop：</w:t>
      </w:r>
      <w:r>
        <w:rPr>
          <w:rFonts w:ascii="Arial" w:hAnsi="Arial" w:eastAsia="宋体" w:cs="Arial"/>
          <w:b w:val="0"/>
          <w:i w:val="0"/>
        </w:rPr>
        <w:t xml:space="preserve"> 从需求、原型、测试用例，到 Code Review、E2E、Bug 回流和部署的端到端循环。</w:t>
      </w:r>
    </w:p>
    <w:p>
      <w:bookmarkStart w:id="107" w:name="AXH_7_bdf510cb"/>
      <w:pPr>
        <w:pStyle w:val="Heading2"/>
      </w:pPr>
      <w:r>
        <w:rPr>
          <w:rFonts w:ascii="Arial" w:hAnsi="Arial" w:eastAsia="宋体" w:cs="Arial"/>
          <w:b/>
          <w:i w:val="0"/>
        </w:rPr>
        <w:t>1.5 软件开发工具体系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不直接从一句自然语言跳到部署。每一阶段都应有输入模板、结构化中间产物和可检查输出。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76"/>
        <w:gridCol w:w="2679"/>
        <w:gridCol w:w="2721"/>
        <w:gridCol w:w="2615"/>
      </w:tblGrid>
      <w:tr>
        <w:trPr>
          <w:tblHeader w:val="true"/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输入资产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AI 参与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输出资产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需求规格模板、研究材料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整理、切模块、补字段、正交化规则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需求规格 Markdown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原型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design.md 或现有设计规则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Figma/Stitch/HTML 生成与迭代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原型链接或可执行 HTML/代码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技术规格模板、打样工程、代码规范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领域/API/数据库/时序设计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技术规格 Markdown 与 DSL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编码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需求、技术规格、代码样板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生成、修改、调试、重构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前后端代码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测试规格模板、需求 AC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生成用例、API 测试、浏览器探索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测试规格、测试代码、Bug 报告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页面流程、测试用例、E2E 模板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生成并固化 Playwright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可重复运行的 TypeScript 测试</w:t>
            </w:r>
          </w:p>
        </w:tc>
      </w:tr>
      <w:tr>
        <w:trPr>
          <w:cantSplit w:val="true"/>
        </w:trPr>
        <w:tc>
          <w:tcPr>
            <w:tcW w:type="dxa" w:w="1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部署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环境模板、构建规则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生成和验证部署配置</w:t>
            </w:r>
          </w:p>
        </w:tc>
        <w:tc>
          <w:tcPr>
            <w:tcW w:type="dxa" w:w="26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YAML、构建产物、部署检查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这个工具体系的核心不是“每一步都用同一个 AI IDE”，而是保证每次转换都有清晰输入和输出，任何成员都能从仓库重新执行。</w:t>
      </w:r>
    </w:p>
    <w:p>
      <w:bookmarkStart w:id="108" w:name="AXH_8_f4f3fa8f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需求衔接：把需求变成 AI 可执行规格</w:t>
      </w:r>
      <w:bookmarkEnd w:id="108"/>
    </w:p>
    <w:p>
      <w:bookmarkStart w:id="109" w:name="AXH_9_195b0bda"/>
      <w:pPr>
        <w:pStyle w:val="Heading2"/>
      </w:pPr>
      <w:r>
        <w:rPr>
          <w:rFonts w:ascii="Arial" w:hAnsi="Arial" w:eastAsia="宋体" w:cs="Arial"/>
          <w:b/>
          <w:i w:val="0"/>
        </w:rPr>
        <w:t>2.1 需求规格的四元结构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手册给出的可执行需求由四部分组成：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可执行需求 = 模块切分（增量/存量）+ 字段清单 + 原型链接 + 业务规则</w:t>
      </w:r>
    </w:p>
    <w:p>
      <w:bookmarkStart w:id="110" w:name="AXH_10_5e91e389"/>
      <w:pPr>
        <w:pStyle w:val="Heading3"/>
      </w:pPr>
      <w:r>
        <w:rPr>
          <w:rFonts w:ascii="Arial" w:hAnsi="Arial" w:eastAsia="宋体" w:cs="Arial"/>
          <w:b/>
          <w:i w:val="0"/>
        </w:rPr>
        <w:t>模块切分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先写业务背景，再按业务责任切模块；一个模块对应一个独立规格单元。必须区分：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增量需求：</w:t>
      </w:r>
      <w:r>
        <w:rPr>
          <w:rFonts w:ascii="Arial" w:hAnsi="Arial" w:eastAsia="宋体" w:cs="Arial"/>
          <w:b w:val="0"/>
          <w:i w:val="0"/>
        </w:rPr>
        <w:t xml:space="preserve"> 全新功能或新模块，需要完整定义入口、对象、流程、字段和验收；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/>
          <w:i w:val="0"/>
        </w:rPr>
        <w:t>存量修改：</w:t>
      </w:r>
      <w:r>
        <w:rPr>
          <w:rFonts w:ascii="Arial" w:hAnsi="Arial" w:eastAsia="宋体" w:cs="Arial"/>
          <w:b w:val="0"/>
          <w:i w:val="0"/>
        </w:rPr>
        <w:t xml:space="preserve"> 对已有行为做变更，需要同时写明原行为、变化点、保持不变项和兼容边界。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这项设计解决 AI 最常见的误判：把局部修改理解为推倒重做，或把全新模块误当成现有文件上的小补丁。</w:t>
      </w:r>
    </w:p>
    <w:p>
      <w:bookmarkStart w:id="111" w:name="AXH_11_6d10a7f9"/>
      <w:pPr>
        <w:pStyle w:val="Heading3"/>
      </w:pPr>
      <w:r>
        <w:rPr>
          <w:rFonts w:ascii="Arial" w:hAnsi="Arial" w:eastAsia="宋体" w:cs="Arial"/>
          <w:b/>
          <w:i w:val="0"/>
        </w:rPr>
        <w:t>字段清单</w:t>
      </w:r>
      <w:bookmarkEnd w:id="1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字段名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建立需求、UI、API、数据库之间的同名映射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类型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限定值域，减少自由文本歧义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必填性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明确缺失时应继续、拒绝还是使用默认值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默认值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固定初始行为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描述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解释业务语义，而不是只解释数据类型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校验规则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形成错误路径和测试输入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展示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说明用户能否看到、编辑和确认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数据来源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说明来自用户、数据库、外部服务还是模型推断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字段一旦进入规格，就应继续映射到 schema、类型和测试，不能在不同文档中换一套叫法。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手册使用账户字段展示格式，而不是把字段埋在段落中：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00"/>
        <w:gridCol w:w="1938"/>
        <w:gridCol w:w="1538"/>
        <w:gridCol w:w="1665"/>
        <w:gridCol w:w="2150"/>
      </w:tblGrid>
      <w:tr>
        <w:trPr>
          <w:tblHeader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字段名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必填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默认值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描述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username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string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—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登录用户名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email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string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—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电子邮箱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enum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否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用户角色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</w:t>
            </w:r>
          </w:p>
        </w:tc>
        <w:tc>
          <w:tcPr>
            <w:tcW w:type="dxa" w:w="1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boolean</w:t>
            </w:r>
          </w:p>
        </w:tc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否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true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是否启用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这个示例还要求继续标注校验规则、UI 展示和数据来源；表格只是字段骨架，不是完整规格。</w:t>
      </w:r>
    </w:p>
    <w:p>
      <w:bookmarkStart w:id="112" w:name="AXH_12_ab9900a7"/>
      <w:pPr>
        <w:pStyle w:val="Heading3"/>
      </w:pPr>
      <w:r>
        <w:rPr>
          <w:rFonts w:ascii="Arial" w:hAnsi="Arial" w:eastAsia="宋体" w:cs="Arial"/>
          <w:b/>
          <w:i w:val="0"/>
        </w:rPr>
        <w:t>原型链接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需求必须指出对应页面、区域和交互。手册提供三种传递方式：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Figma：选中具体 Frame，分享并在需求中标注模块和页面；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Stitch：分享具体设计稿，不只分享项目首页；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HTML+CSS：将可交互原型提交到代码仓库，支持点击、跳转、输入、版本管理和 Review。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HTML 原型的优势是可直接验证，代价是需要前端能力。对于需要长期迭代的 AI 工程，原型越接近真实组件，规格到实现的信息损失越小。</w:t>
      </w:r>
    </w:p>
    <w:p>
      <w:bookmarkStart w:id="113" w:name="AXH_13_c895ab9c"/>
      <w:pPr>
        <w:pStyle w:val="Heading3"/>
      </w:pPr>
      <w:r>
        <w:rPr>
          <w:rFonts w:ascii="Arial" w:hAnsi="Arial" w:eastAsia="宋体" w:cs="Arial"/>
          <w:b/>
          <w:i w:val="0"/>
        </w:rPr>
        <w:t>业务规则</w:t>
      </w:r>
      <w:bookmarkEnd w:id="11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业务规则采用“条目化 + 正交分解”：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一条规则只表达一个独立判断；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每条规则拥有稳定编号；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每条规则可以独立构造正确输入、错误输入和边界输入；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规则之间避免隐藏的先后关系；存在依赖时必须显式声明；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验收标准引用规则编号，而不是重新改写一遍。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手册给出的规则示例包括：R1 用户名唯一、R2 邮箱格式校验、R3 密码不少于 8 位且包含大小写、R4 删除需要二次确认、R5 超时自动登出、R6 管理员不可降级。六条规则彼此独立，可以分别生成正例、反例和边界用例。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BA/产品成员也应在代码仓库中工作，使 AI 能基于当前系统事实编写新增和变更规格；需求模板和示例可以由 AI 辅助生成，但字段与业务规则必须由业务责任人确认。</w:t>
      </w:r>
    </w:p>
    <w:p>
      <w:bookmarkStart w:id="114" w:name="AXH_14_83dbba3f"/>
      <w:pPr>
        <w:pStyle w:val="Heading2"/>
      </w:pPr>
      <w:r>
        <w:rPr>
          <w:rFonts w:ascii="Arial" w:hAnsi="Arial" w:eastAsia="宋体" w:cs="Arial"/>
          <w:b/>
          <w:i w:val="0"/>
        </w:rPr>
        <w:t>2.2 原型与设计系统</w:t>
      </w:r>
      <w:bookmarkEnd w:id="1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62"/>
        <w:gridCol w:w="2360"/>
        <w:gridCol w:w="2701"/>
        <w:gridCol w:w="2368"/>
      </w:tblGrid>
      <w:tr>
        <w:trPr>
          <w:tblHeader w:val="true"/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路线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交付方式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优点</w:t>
            </w:r>
          </w:p>
        </w:tc>
        <w:tc>
          <w:tcPr>
            <w:tcW w:type="dxa" w:w="2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适合场景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设计软件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Figma/Stitch URL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设计效率高，方便视觉协作</w:t>
            </w:r>
          </w:p>
        </w:tc>
        <w:tc>
          <w:tcPr>
            <w:tcW w:type="dxa" w:w="2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需求评审和视觉探索</w:t>
            </w:r>
          </w:p>
        </w:tc>
      </w:tr>
      <w:tr>
        <w:trPr>
          <w:cantSplit w:val="true"/>
        </w:trPr>
        <w:tc>
          <w:tcPr>
            <w:tcW w:type="dxa" w:w="18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HTML+CSS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仓库中的可执行代码</w:t>
            </w:r>
          </w:p>
        </w:tc>
        <w:tc>
          <w:tcPr>
            <w:tcW w:type="dxa" w:w="2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可交互、可版本管理、可直接演进</w:t>
            </w:r>
          </w:p>
        </w:tc>
        <w:tc>
          <w:tcPr>
            <w:tcW w:type="dxa" w:w="2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研发打样和高频迭代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为了避免每次生成一套新风格，手册提出 design.md：用 Markdown 固化颜色、字体、层级、间距和组件规则。它有两种产生方式：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设计稿 → 提炼规则 → design.md；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/>
          <w:i w:val="0"/>
        </w:rPr>
        <w:t>现有代码 → 反向解析 → design.md。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design.md 的本质不是增加文档数量，而是让视觉事实可被 AI 重复读取，确保新页面仍使用项目组件库和既有视觉语言。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手册同时给出 </w:t>
      </w: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getdesign.md</w:t>
        </w:r>
      </w:hyperlink>
      <w:r>
        <w:rPr>
          <w:rFonts w:ascii="Arial" w:hAnsi="Arial" w:eastAsia="宋体" w:cs="Arial"/>
          <w:b w:val="0"/>
          <w:i w:val="0"/>
        </w:rPr>
        <w:t xml:space="preserve"> 作为 design.md 参考入口。采用外部示例时只提取颜色、字体、间距和组件规则，不直接把其他产品的视觉资产当成本项目设计。</w:t>
      </w:r>
    </w:p>
    <w:p>
      <w:bookmarkStart w:id="115" w:name="AXH_15_5bda5f4d"/>
      <w:pPr>
        <w:pStyle w:val="Heading2"/>
      </w:pPr>
      <w:r>
        <w:rPr>
          <w:rFonts w:ascii="Arial" w:hAnsi="Arial" w:eastAsia="宋体" w:cs="Arial"/>
          <w:b/>
          <w:i w:val="0"/>
        </w:rPr>
        <w:t>2.3 从需求到测试的无损传递</w:t>
      </w:r>
      <w:bookmarkEnd w:id="115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582534" cy="6629399"/>
            <wp:docPr id="3" name="Picture 3" descr="2.3 从需求到测试的无损传递（流程/架构图）" title="2.3 从需求到测试的无损传递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6b6eccb9e7f0c83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534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2.3 从需求到测试的无损传递（流程/架构图）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任何中间环节如果只保留“差不多的意思”，AI 就会在下一步重新猜测。团队方法要求使用稳定名称、编号和来源指针，将猜测压缩到最小。</w:t>
      </w:r>
    </w:p>
    <w:p>
      <w:bookmarkStart w:id="116" w:name="AXH_16_d813dd8d"/>
      <w:pPr>
        <w:pStyle w:val="Heading2"/>
      </w:pPr>
      <w:r>
        <w:rPr>
          <w:rFonts w:ascii="Arial" w:hAnsi="Arial" w:eastAsia="宋体" w:cs="Arial"/>
          <w:b/>
          <w:i w:val="0"/>
        </w:rPr>
        <w:t>2.4 AXIOM Space 的实践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将这一方法落实为：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03-用户研究与需求验证定义问题和证据；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04-MVP定义明确 P0 范围和非范围；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05-PRD 按 Learn、Forge、Galaxy、Cognition 等用户任务定义页面和功能；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06-DDD-对象模型与契约将字段和规则收敛为领域对象；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07-TDD-验收标准定义正确路径、错误路径和完成条件；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08-测试计划指定测试层级、输入、输出和执行方式；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test/ 将规格继续拆成 289 条稳定编号用例。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这些项目材料只作为方法落地证据；09 号文档的主体仍是需求规格怎样驱动 AI，而不是重复讲产品功能。</w:t>
      </w:r>
    </w:p>
    <w:p>
      <w:bookmarkStart w:id="117" w:name="AXH_17_44c48b7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开发实现：让 AI 在项目约束内持续工作</w:t>
      </w:r>
      <w:bookmarkEnd w:id="117"/>
    </w:p>
    <w:p>
      <w:bookmarkStart w:id="118" w:name="AXH_18_7c1023d5"/>
      <w:pPr>
        <w:pStyle w:val="Heading2"/>
      </w:pPr>
      <w:r>
        <w:rPr>
          <w:rFonts w:ascii="Arial" w:hAnsi="Arial" w:eastAsia="宋体" w:cs="Arial"/>
          <w:b/>
          <w:i w:val="0"/>
        </w:rPr>
        <w:t>3.1 Rules、Specification、Skills</w:t>
      </w:r>
      <w:bookmarkEnd w:id="11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66"/>
        <w:gridCol w:w="1779"/>
        <w:gridCol w:w="3057"/>
        <w:gridCol w:w="2689"/>
      </w:tblGrid>
      <w:tr>
        <w:trPr>
          <w:tblHeader w:val="true"/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资产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它控制什么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示例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判断标准</w:t>
            </w:r>
          </w:p>
        </w:tc>
      </w:tr>
      <w:tr>
        <w:trPr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Rules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行为边界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技术版本、命名、依赖方向、禁止事项、目录规则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是否能够明确判定违反</w:t>
            </w:r>
          </w:p>
        </w:tc>
      </w:tr>
      <w:tr>
        <w:trPr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Specification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任务事实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用户故事、AC、字段、接口、错误、状态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是否能够导出实现和验收</w:t>
            </w:r>
          </w:p>
        </w:tc>
      </w:tr>
      <w:tr>
        <w:trPr>
          <w:cantSplit w:val="true"/>
        </w:trPr>
        <w:tc>
          <w:tcPr>
            <w:tcW w:type="dxa" w:w="17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</w:t>
            </w:r>
          </w:p>
        </w:tc>
        <w:tc>
          <w:tcPr>
            <w:tcW w:type="dxa" w:w="17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执行能力</w:t>
            </w:r>
          </w:p>
        </w:tc>
        <w:tc>
          <w:tcPr>
            <w:tcW w:type="dxa" w:w="3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提示词、脚本、模板、CLI/API 封装</w:t>
            </w:r>
          </w:p>
        </w:tc>
        <w:tc>
          <w:tcPr>
            <w:tcW w:type="dxa" w:w="26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是否有明确触发、输入、输出和失败方式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规则不能写成模糊偏好，例如“代码尽量优雅”；应写成可检查要求。规格不能只写功能标题；必须描述行为、状态、输入、输出、错误和验收。Skills 也不能变成隐藏权限入口；它只能在已批准范围内复用工具。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手册用 Java 规则和注册/登录规格展示二者差异：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Rules 可以规定 Java 17、PascalCase/camelCase、UPPER_SNAKE_CASE、单行不超过 120 字符、Egyptian 大括号风格，以及禁止 Autowired 字段注入、改用构造器注入；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Specification 则规定用户如何注册、怎样发送验证链接或验证码、未验证账户怎样被拒绝登录、重复邮箱和错误格式怎样提示、验证失效后怎样重新发送。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前者约束所有实现的写法，后者定义某一功能的业务结果；把两者混写会导致全局规则频繁变化，或功能规则无法被单独验收。</w:t>
      </w:r>
    </w:p>
    <w:p>
      <w:bookmarkStart w:id="119" w:name="AXH_19_ed67672a"/>
      <w:pPr>
        <w:pStyle w:val="Heading2"/>
      </w:pPr>
      <w:r>
        <w:rPr>
          <w:rFonts w:ascii="Arial" w:hAnsi="Arial" w:eastAsia="宋体" w:cs="Arial"/>
          <w:b/>
          <w:i w:val="0"/>
        </w:rPr>
        <w:t>3.2 AI 上下文体系</w:t>
      </w:r>
      <w:bookmarkEnd w:id="1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目录概念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职责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更新方式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standards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架构、建表、API、命名、安全等标准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当前态维护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features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产品/BA 维护的需求规格、字段映射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当前态维护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plans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每轮任务的实现方案、任务拆分、工作状态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每轮新增，保留过程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designs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DB、表、领域和接口事实，作为 Source of Truth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以最终态更新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others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架构决策、Release、测试用例等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按职责维护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其核心不是目录名称，而是区分：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/>
          <w:i w:val="0"/>
        </w:rPr>
        <w:t>过程方案：</w:t>
      </w:r>
      <w:r>
        <w:rPr>
          <w:rFonts w:ascii="Arial" w:hAnsi="Arial" w:eastAsia="宋体" w:cs="Arial"/>
          <w:b w:val="0"/>
          <w:i w:val="0"/>
        </w:rPr>
        <w:t xml:space="preserve"> 当时准备怎样做、有哪些任务、执行到哪里；采用追加方式保存；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/>
          <w:i w:val="0"/>
        </w:rPr>
        <w:t>事实方案：</w:t>
      </w:r>
      <w:r>
        <w:rPr>
          <w:rFonts w:ascii="Arial" w:hAnsi="Arial" w:eastAsia="宋体" w:cs="Arial"/>
          <w:b w:val="0"/>
          <w:i w:val="0"/>
        </w:rPr>
        <w:t xml:space="preserve"> 当前系统真实的领域、表、接口和约束；以最终态更新，作为下一轮 Plan 的输入。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采用项目化映射：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手册概念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Space 的承载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Standards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AGENTS.md、CLAUDE.md、《开发技术规范》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Features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用户研究、MVP、PRD、TDD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Plans / 过程方案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docs/02-决策与开发过程记录/ 中的候选方案、约束和迁移过程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Designs / 事实方案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DDD 文档、Prisma schema、TypeScript 类型、Hono RPC、当前源码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Tests / Evidence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test/、scripts/test/、Playwright、测试报告</w:t>
            </w:r>
          </w:p>
        </w:tc>
      </w:tr>
    </w:tbl>
    <w:p>
      <w:pPr>
        <w:spacing w:after="40"/>
      </w:pPr>
    </w:p>
    <w:p>
      <w:bookmarkStart w:id="120" w:name="AXH_20_379fb8d4"/>
      <w:pPr>
        <w:pStyle w:val="Heading2"/>
      </w:pPr>
      <w:r>
        <w:rPr>
          <w:rFonts w:ascii="Arial" w:hAnsi="Arial" w:eastAsia="宋体" w:cs="Arial"/>
          <w:b/>
          <w:i w:val="0"/>
        </w:rPr>
        <w:t>3.3 Plan/Go 规格流转</w:t>
      </w:r>
      <w:bookmarkEnd w:id="120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331957" cy="6629400"/>
            <wp:docPr id="4" name="Picture 4" descr="3.3 Plan/Go 规格流转（流程/架构图）" title="3.3 Plan/Go 规格流转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385bf07a388d39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1957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3　3.3 Plan/Go 规格流转（流程/架构图）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Plan 阶段的目标不是写一份漂亮计划，而是关闭开放问题：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明确要改哪些对象、接口和页面；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明确保留哪些现有行为；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明确每一步的输入、输出和验证；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明确失败时返回哪个步骤；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明确哪些动作已经授权，哪些仍需人工确认；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记录实现状态，使任务能够分批执行、恢复和重试。</w:t>
      </w:r>
    </w:p>
    <w:p>
      <w:bookmarkStart w:id="121" w:name="AXH_21_7bb53766"/>
      <w:pPr>
        <w:pStyle w:val="Heading2"/>
      </w:pPr>
      <w:r>
        <w:rPr>
          <w:rFonts w:ascii="Arial" w:hAnsi="Arial" w:eastAsia="宋体" w:cs="Arial"/>
          <w:b/>
          <w:i w:val="0"/>
        </w:rPr>
        <w:t>3.4 外部工具的三种接入方式</w:t>
      </w:r>
      <w:bookmarkEnd w:id="12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87"/>
        <w:gridCol w:w="3059"/>
        <w:gridCol w:w="2546"/>
        <w:gridCol w:w="2299"/>
      </w:tblGrid>
      <w:tr>
        <w:trPr>
          <w:tblHeader w:val="true"/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方式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工作定义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优势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适用任务</w:t>
            </w:r>
          </w:p>
        </w:tc>
      </w:tr>
      <w:tr>
        <w:trPr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模型与数据库、API、文件系统、浏览器等外部系统通信的标准协议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接口标准化、可双向读写、配置可复用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跨工具、跨系统连接</w:t>
            </w:r>
          </w:p>
        </w:tc>
      </w:tr>
      <w:tr>
        <w:trPr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将提示词、脚本、模板和工具封装为 AI 可调用能力单元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可复用、可团队共享、能声明专用流程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重复且需要上下文的专业任务</w:t>
            </w:r>
          </w:p>
        </w:tc>
      </w:tr>
      <w:tr>
        <w:trPr>
          <w:cantSplit w:val="true"/>
        </w:trPr>
        <w:tc>
          <w:tcPr>
            <w:tcW w:type="dxa" w:w="1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Commands</w:t>
            </w:r>
          </w:p>
        </w:tc>
        <w:tc>
          <w:tcPr>
            <w:tcW w:type="dxa" w:w="3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 AI 或开发者直接执行 CLI 命令</w:t>
            </w:r>
          </w:p>
        </w:tc>
        <w:tc>
          <w:tcPr>
            <w:tcW w:type="dxa" w:w="2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最直接、可串联、易与 CI 对接</w:t>
            </w:r>
          </w:p>
        </w:tc>
        <w:tc>
          <w:tcPr>
            <w:tcW w:type="dxa" w:w="2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构建、测试、Git、部署、检查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MCP 解决“怎样连接”，Skills 解决“怎样正确使用”，Commands 解决“怎样直接执行”。项目 Harness 决定它们何时可用、允许访问什么、结果怎样回到 Loop。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手册中的三个最小示例分别对应：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MCP Server 配置数据库连接，使同一外部能力可被多个 AI 工具复用；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Commit &amp; Push Skill 将 git add、commit、push 封装，并要求提交前检查 lint、提交信息遵循 Conventional Commits；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部署 Command 直接串联构建和部署命令。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这些示例的共同要求是：连接配置、流程规则和具体命令各归其位，不能把高权限部署命令藏在普通提示词里。</w:t>
      </w:r>
    </w:p>
    <w:p>
      <w:bookmarkStart w:id="122" w:name="AXH_22_a1409d22"/>
      <w:pPr>
        <w:pStyle w:val="Heading2"/>
      </w:pPr>
      <w:r>
        <w:rPr>
          <w:rFonts w:ascii="Arial" w:hAnsi="Arial" w:eastAsia="宋体" w:cs="Arial"/>
          <w:b/>
          <w:i w:val="0"/>
        </w:rPr>
        <w:t>3.5 AI 编程工具分层</w:t>
      </w:r>
      <w:bookmarkEnd w:id="12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代表工具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工作特征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CLI Agent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Claude Code、Codex CLI、OpenCode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优先，适合仓库级检索、命令、长任务和自动执行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IDE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Cursor、Kiro、Trae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代码掌控感强，适合局部编辑和高频人工介入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增强插件/方法包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Superpower、oh-my-opencode、oh-my-codex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 Skills、脚本、模板和流程增强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选择标准不是品牌，而是任务：大范围理解要求读取规则和搜索引用；局部编码要求可审查 diff；长任务要求执行命令并根据失败继续；高风险任务要求权限可控、动作可追踪、结果可回退。</w:t>
      </w:r>
    </w:p>
    <w:p>
      <w:bookmarkStart w:id="123" w:name="AXH_23_f95ce20a"/>
      <w:pPr>
        <w:pStyle w:val="Heading2"/>
      </w:pPr>
      <w:r>
        <w:rPr>
          <w:rFonts w:ascii="Arial" w:hAnsi="Arial" w:eastAsia="宋体" w:cs="Arial"/>
          <w:b/>
          <w:i w:val="0"/>
        </w:rPr>
        <w:t>3.6 SDD 框架比较</w:t>
      </w:r>
      <w:bookmarkEnd w:id="12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11"/>
        <w:gridCol w:w="1985"/>
        <w:gridCol w:w="1995"/>
        <w:gridCol w:w="1925"/>
        <w:gridCol w:w="1975"/>
      </w:tblGrid>
      <w:tr>
        <w:trPr>
          <w:tblHeader w:val="true"/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BMAD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Spec Kit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OpenSpec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Kiro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定位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企业级 SDD 操作系统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工程化 Spec 工作流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轻量 Spec 层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IDE 原生 SDD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核心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治理体系 + 多 Agent 编排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Spec 是开发入口并绑定 Git 生命周期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Spec 是持续演化的变更单元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Spec 是代码与测试的可执行源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生命周期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PRD→架构→实现全周期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与分支绑定，较短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长期存在，持续演化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开发时持续驱动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粒度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系统/模块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Feature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Change/Patch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Feature + 行为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行为表达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强规范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部分结构化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轻量 Given/When/Then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严格 EARS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流程控制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强：阶段、审批、Agent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中：Plan→Spec→Tasks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弱：自由演化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强：Spec→生成→验证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参与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 Agent 分工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辅助执行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Prompt 级辅助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IDE 内主导执行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自动验证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依赖外部测试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依赖外部测试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较弱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内建验证较强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与代码关系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间接，通过流程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半耦合，驱动实现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弱耦合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强耦合，直接生成和校验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适合场景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大型系统、多团队、强治理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新项目 0→1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存量项目、快速迭代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小团队、高自动化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主要风险</w:t>
            </w:r>
          </w:p>
        </w:tc>
        <w:tc>
          <w:tcPr>
            <w:tcW w:type="dxa" w:w="19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文档和流程偏重</w:t>
            </w:r>
          </w:p>
        </w:tc>
        <w:tc>
          <w:tcPr>
            <w:tcW w:type="dxa" w:w="1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分支规格可能短命</w:t>
            </w:r>
          </w:p>
        </w:tc>
        <w:tc>
          <w:tcPr>
            <w:tcW w:type="dxa" w:w="19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自由度高，容易漂移</w:t>
            </w:r>
          </w:p>
        </w:tc>
        <w:tc>
          <w:tcPr>
            <w:tcW w:type="dxa" w:w="19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 IDE 和生成链耦合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团队没有整体照搬其中任何一套，而是采用 BMAD 的治理意识、Spec Kit 的开发入口、OpenSpec 的增量演化和 Kiro 的可执行验证，最终由项目自身的文档、规则、测试和代码组成 Harness。</w:t>
      </w:r>
    </w:p>
    <w:p>
      <w:bookmarkStart w:id="124" w:name="AXH_24_ea46081c"/>
      <w:pPr>
        <w:pStyle w:val="Heading2"/>
      </w:pPr>
      <w:r>
        <w:rPr>
          <w:rFonts w:ascii="Arial" w:hAnsi="Arial" w:eastAsia="宋体" w:cs="Arial"/>
          <w:b/>
          <w:i w:val="0"/>
        </w:rPr>
        <w:t>3.7 Superpower 的七段工程顺序</w:t>
      </w:r>
      <w:bookmarkEnd w:id="124"/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brainstorming：</w:t>
      </w:r>
      <w:r>
        <w:rPr>
          <w:rFonts w:ascii="Arial" w:hAnsi="Arial" w:eastAsia="宋体" w:cs="Arial"/>
          <w:b w:val="0"/>
          <w:i w:val="0"/>
        </w:rPr>
        <w:t xml:space="preserve"> 写代码前澄清想法、比较方案、分段确认设计并保存文档；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using-git-worktrees：</w:t>
      </w:r>
      <w:r>
        <w:rPr>
          <w:rFonts w:ascii="Arial" w:hAnsi="Arial" w:eastAsia="宋体" w:cs="Arial"/>
          <w:b w:val="0"/>
          <w:i w:val="0"/>
        </w:rPr>
        <w:t xml:space="preserve"> 设计通过后创建隔离分支和工作区，确认基线测试干净；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writing-plans：</w:t>
      </w:r>
      <w:r>
        <w:rPr>
          <w:rFonts w:ascii="Arial" w:hAnsi="Arial" w:eastAsia="宋体" w:cs="Arial"/>
          <w:b w:val="0"/>
          <w:i w:val="0"/>
        </w:rPr>
        <w:t xml:space="preserve"> 把设计拆成约 2—5 分钟的细粒度任务，每项写出精确路径、完整动作和验证步骤；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subagent-driven-development / executing-plans：</w:t>
      </w:r>
      <w:r>
        <w:rPr>
          <w:rFonts w:ascii="Arial" w:hAnsi="Arial" w:eastAsia="宋体" w:cs="Arial"/>
          <w:b w:val="0"/>
          <w:i w:val="0"/>
        </w:rPr>
        <w:t xml:space="preserve"> 按任务执行，先审规格符合性，再审代码质量；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test-driven-development：</w:t>
      </w:r>
      <w:r>
        <w:rPr>
          <w:rFonts w:ascii="Arial" w:hAnsi="Arial" w:eastAsia="宋体" w:cs="Arial"/>
          <w:b w:val="0"/>
          <w:i w:val="0"/>
        </w:rPr>
        <w:t xml:space="preserve"> RED→GREEN→REFACTOR，先证明测试会失败，再写最小实现；严格执行时，测试之前写出的实现代码需要删除或按测试重新建立；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requesting-code-review：</w:t>
      </w:r>
      <w:r>
        <w:rPr>
          <w:rFonts w:ascii="Arial" w:hAnsi="Arial" w:eastAsia="宋体" w:cs="Arial"/>
          <w:b w:val="0"/>
          <w:i w:val="0"/>
        </w:rPr>
        <w:t xml:space="preserve"> 任务之间按严重等级审查，关键问题阻断进度；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/>
          <w:i w:val="0"/>
        </w:rPr>
        <w:t>finishing-a-development-branch：</w:t>
      </w:r>
      <w:r>
        <w:rPr>
          <w:rFonts w:ascii="Arial" w:hAnsi="Arial" w:eastAsia="宋体" w:cs="Arial"/>
          <w:b w:val="0"/>
          <w:i w:val="0"/>
        </w:rPr>
        <w:t xml:space="preserve"> 验证测试，明确合并、PR、保留或丢弃，并清理工作区。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团队采用的是这条工程顺序，而不是将 Superpower 作为项目运行依赖。这样保留方法价值，也避免外部框架限制项目的精细调整。</w:t>
      </w:r>
    </w:p>
    <w:p>
      <w:bookmarkStart w:id="125" w:name="AXH_25_3e938158"/>
      <w:pPr>
        <w:pStyle w:val="Heading2"/>
      </w:pPr>
      <w:r>
        <w:rPr>
          <w:rFonts w:ascii="Arial" w:hAnsi="Arial" w:eastAsia="宋体" w:cs="Arial"/>
          <w:b/>
          <w:i w:val="0"/>
        </w:rPr>
        <w:t>3.8 技术规格采用可执行 DSL</w:t>
      </w:r>
      <w:bookmarkEnd w:id="12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32"/>
        <w:gridCol w:w="1935"/>
        <w:gridCol w:w="1402"/>
        <w:gridCol w:w="2181"/>
        <w:gridCol w:w="2441"/>
      </w:tblGrid>
      <w:tr>
        <w:trPr>
          <w:tblHeader w:val="true"/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技术规格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表达标准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格式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必须产出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硬约束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领域模型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PlantUML / Smart Domain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.puml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实体、属性、关系、聚合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字段与数据库一致，实体关系明确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数据库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SQL DDL / DBML / Flyway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.sql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表、索引、约束、外键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必须可执行，不能只写自然语言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OpenAPI 3.x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.yaml / .json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请求、响应、schema、错误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禁止只写接口名称，字段与模型一致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时序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PlantUML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.puml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调用流程和系统交互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必须反映真实调用链并包含异常分支</w:t>
            </w:r>
          </w:p>
        </w:tc>
      </w:tr>
      <w:tr>
        <w:trPr>
          <w:cantSplit w:val="true"/>
        </w:trPr>
        <w:tc>
          <w:tcPr>
            <w:tcW w:type="dxa" w:w="13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专题设计</w:t>
            </w:r>
          </w:p>
        </w:tc>
        <w:tc>
          <w:tcPr>
            <w:tcW w:type="dxa" w:w="1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.md</w:t>
            </w:r>
          </w:p>
        </w:tc>
        <w:tc>
          <w:tcPr>
            <w:tcW w:type="dxa" w:w="21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权限、事务、缓存、算法等策略</w:t>
            </w:r>
          </w:p>
        </w:tc>
        <w:tc>
          <w:tcPr>
            <w:tcW w:type="dxa" w:w="2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只写策略与决定，不重复 API/DDL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将同一原则映射为 Prisma schema、TypeScript 类型、Zod、Hono RPC、Mermaid 和决策 Markdown。表达格式可以变化，但“可执行、可映射、可验证”不能变化。</w:t>
      </w:r>
    </w:p>
    <w:p>
      <w:bookmarkStart w:id="126" w:name="AXH_26_e25fd26b"/>
      <w:pPr>
        <w:pStyle w:val="Heading2"/>
      </w:pPr>
      <w:r>
        <w:rPr>
          <w:rFonts w:ascii="Arial" w:hAnsi="Arial" w:eastAsia="宋体" w:cs="Arial"/>
          <w:b/>
          <w:i w:val="0"/>
        </w:rPr>
        <w:t>3.9 打样工程：让 AI 有正确作业可抄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手册提出三个打样原则：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约定大于配置：</w:t>
      </w:r>
      <w:r>
        <w:rPr>
          <w:rFonts w:ascii="Arial" w:hAnsi="Arial" w:eastAsia="宋体" w:cs="Arial"/>
          <w:b w:val="0"/>
          <w:i w:val="0"/>
        </w:rPr>
        <w:t xml:space="preserve"> 先给 AI 一个符合团队标准的完整样板，再补充少量差异；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编排逻辑和原子能力分离：</w:t>
      </w:r>
      <w:r>
        <w:rPr>
          <w:rFonts w:ascii="Arial" w:hAnsi="Arial" w:eastAsia="宋体" w:cs="Arial"/>
          <w:b w:val="0"/>
          <w:i w:val="0"/>
        </w:rPr>
        <w:t xml:space="preserve"> AppService 负责用例顺序，DomainService/Repository 负责可复用能力；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/>
          <w:i w:val="0"/>
        </w:rPr>
        <w:t>操作者和被操作对象分离：</w:t>
      </w:r>
      <w:r>
        <w:rPr>
          <w:rFonts w:ascii="Arial" w:hAnsi="Arial" w:eastAsia="宋体" w:cs="Arial"/>
          <w:b w:val="0"/>
          <w:i w:val="0"/>
        </w:rPr>
        <w:t xml:space="preserve"> Controller/AppService 负责调度，Entity/Value Object/PO 承载业务事实。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简单 CRUD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Controller + Command → AppService → Repository → Response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复杂或有复用逻辑的 CRUD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Controller + Command → AppService → DomainService → Repository → Response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复杂查询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Controller + Query → AppService → QueryPO（或复用 PO）→ Response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打样工程让 AI 看到请求怎样进入、规则放在哪里、数据怎样写入、响应怎样形成、异常怎样返回。高质量样板比数十条零散风格要求更容易产生一致代码。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手册的打样参考工程为 </w:t>
      </w:r>
      <w:hyperlink r:id="rId21" w:history="1">
        <w:r>
          <w:rPr>
            <w:rFonts w:ascii="Microsoft YaHei" w:hAnsi="Microsoft YaHei" w:eastAsia="微软雅黑"/>
            <w:color w:val="0F756D"/>
            <w:u w:val="single"/>
          </w:rPr>
          <w:t>domain-driven-design/ddd-microservices</w:t>
        </w:r>
      </w:hyperlink>
      <w:r>
        <w:rPr>
          <w:rFonts w:ascii="Arial" w:hAnsi="Arial" w:eastAsia="宋体" w:cs="Arial"/>
          <w:b w:val="0"/>
          <w:i w:val="0"/>
        </w:rPr>
        <w:t>。参考工程只用于研究工序和边界；进入项目的代码仍必须服从当前语言、框架、许可证和领域事实。</w:t>
      </w:r>
    </w:p>
    <w:p>
      <w:bookmarkStart w:id="127" w:name="AXH_27_e789d5ff"/>
      <w:pPr>
        <w:pStyle w:val="Heading2"/>
      </w:pPr>
      <w:r>
        <w:rPr>
          <w:rFonts w:ascii="Arial" w:hAnsi="Arial" w:eastAsia="宋体" w:cs="Arial"/>
          <w:b/>
          <w:i w:val="0"/>
        </w:rPr>
        <w:t>3.10 多任务同步开发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Git Worktree 可以把同一仓库的多个分支映射到不同文件夹，使不同 Agent 或成员在隔离工作区并行执行：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BASH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git worktree add ../feature-login feature/login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git worktree add -b feature-payment ../feature-payment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git worktree list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git worktree remove ../feature-login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并行开发必须满足任务边界独立、文件写集尽量不重叠、每个工作区有自己的验证结果，并在最终合并前执行跨分支集成测试。Worktree 是隔离机制，不是自动解决冲突的机制。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Claude Code、Codex、Cursor 等工具可以由 Agent 或 subagent 自动创建 Worktree，但是否并行仍由任务边界决定。多个 Agent 同时存在不等于可以安全并行修改同一 schema、同一入口或同一核心契约。</w:t>
      </w:r>
    </w:p>
    <w:p>
      <w:bookmarkStart w:id="128" w:name="AXH_28_dc14992b"/>
      <w:pPr>
        <w:pStyle w:val="Heading2"/>
      </w:pPr>
      <w:r>
        <w:rPr>
          <w:rFonts w:ascii="Arial" w:hAnsi="Arial" w:eastAsia="宋体" w:cs="Arial"/>
          <w:b/>
          <w:i w:val="0"/>
        </w:rPr>
        <w:t>3.11 研发自测核心 Loop</w:t>
      </w:r>
      <w:bookmarkEnd w:id="128"/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017818" cy="6629400"/>
            <wp:docPr id="5" name="Picture 5" descr="3.11 研发自测核心 Loop（流程/架构图）" title="3.11 研发自测核心 Loop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64f6e8a8fdffa0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781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4　3.11 研发自测核心 Loop（流程/架构图）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 API 任务为例：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在任务计划中明确目标、状态和验证方式，等待确认；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根据 Plan 编写 API 测试，先证明测试能够在缺少实现时失败；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编写单元测试和最小实现，通过编译；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运行 API 测试；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修复失败测试和其他错误；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重复执行，直到满足准出条件。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核心思想是：Plan 锁定上下文并关闭开放问题；Plan 记录实现状态，使任务可分批完成或重试；验收方式必须确定，让 AI 能根据失败建立自我修复标准。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手册流程图中的 ByPass 权限只应理解为：团队在 Plan 确认后，允许 AI 在本轮已批准的命令和文件范围内连续执行。它不取消破坏性操作确认、密钥保护、目录边界和最终人工审查。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 Loop 有两个运行尺度：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白天由成员多次发起短循环，及时确认设计变化和跨模块影响；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上下文、测试和权限已经锁定后，长循环可以持续更久，承担批量实现、运行、修复和重试。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能否长时间运行由反馈确定性决定，不由任务“看起来简单”决定。</w:t>
      </w:r>
    </w:p>
    <w:p>
      <w:bookmarkStart w:id="129" w:name="AXH_29_2f37c21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测试验收：用反馈闭环控制 AI 质量</w:t>
      </w:r>
      <w:bookmarkEnd w:id="129"/>
    </w:p>
    <w:p>
      <w:bookmarkStart w:id="130" w:name="AXH_30_c1e88df0"/>
      <w:pPr>
        <w:pStyle w:val="Heading2"/>
      </w:pPr>
      <w:r>
        <w:rPr>
          <w:rFonts w:ascii="Arial" w:hAnsi="Arial" w:eastAsia="宋体" w:cs="Arial"/>
          <w:b/>
          <w:i w:val="0"/>
        </w:rPr>
        <w:t>4.1 AI 辅助下的分层测试策略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参与开发后，测试范围不能缩小，反而必须更清楚地区分不同失败：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99"/>
        <w:gridCol w:w="2439"/>
        <w:gridCol w:w="2848"/>
        <w:gridCol w:w="2505"/>
      </w:tblGrid>
      <w:tr>
        <w:trPr>
          <w:tblHeader w:val="true"/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测试类型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测试对象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工具组合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人与 Agent 的责任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Lint / 静态扫描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代码风格、局部逻辑、漏洞和缺陷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TypeScript Lint、ESLint、SonarQube 等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程序员定义规则，AI 修复确定性问题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Code Review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逻辑、架构、复杂度、安全、可维护性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GitHub Copilot、Claude Code、Codex、CodeRabbit、GitHub PR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开发者 + AI Review Agent；关键问题阻断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单元测试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函数/类行为、边界条件、异常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JUnit、pytest、Jest、Node test + AI 生成测试代码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开发者确定契约，Test Generation Agent 生成和执行用例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测试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schema、输入输出、鉴权、错误码、业务规则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Karate 为主、RestAssured 补充复杂逻辑 + AI 生成用例和数据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QA、后端与 API Test Agent</w:t>
            </w:r>
          </w:p>
        </w:tc>
      </w:tr>
      <w:tr>
        <w:trPr>
          <w:cantSplit w:val="true"/>
        </w:trPr>
        <w:tc>
          <w:tcPr>
            <w:tcW w:type="dxa" w:w="14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 测试</w:t>
            </w:r>
          </w:p>
        </w:tc>
        <w:tc>
          <w:tcPr>
            <w:tcW w:type="dxa" w:w="2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登录、下单、支付等关键路径，跨系统流程和前后端联动</w:t>
            </w:r>
          </w:p>
        </w:tc>
        <w:tc>
          <w:tcPr>
            <w:tcW w:type="dxa" w:w="2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+ AI 生成脚本、selector 修复和步骤补全</w:t>
            </w:r>
          </w:p>
        </w:tc>
        <w:tc>
          <w:tcPr>
            <w:tcW w:type="dxa" w:w="2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QA、自动化工程师与 E2E Agent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各层测试回答的问题不同：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Lint 证明基本规则没有被违反；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单元测试证明局部业务判断；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API 测试证明边界、鉴权和系统契约；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E2E 证明用户从页面上能够完成任务；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人工 Review 判断架构、产品意图和不可自动化的质量。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任何一层通过都不能替代其他层。</w:t>
      </w:r>
    </w:p>
    <w:p>
      <w:bookmarkStart w:id="131" w:name="AXH_31_27c7b0d5"/>
      <w:pPr>
        <w:pStyle w:val="Heading2"/>
      </w:pPr>
      <w:r>
        <w:rPr>
          <w:rFonts w:ascii="Arial" w:hAnsi="Arial" w:eastAsia="宋体" w:cs="Arial"/>
          <w:b/>
          <w:i w:val="0"/>
        </w:rPr>
        <w:t>4.2 浏览器工具选择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手册从抽象层、速度、Token 和跨应用能力比较四类浏览器操作方式。下表中的速度与 Token 数字是团队研究时的选型量级，用于比较，不作为 AXIOM 的性能验收指标。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手册原表将 Playwright MCP 标作 “OpenWright (Playwright MCP)”。本文统一使用更直接的能力名称 “Playwright MCP”，不改变原表所指的 Accessibility Tree / DOM 自动化路线。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9"/>
        <w:gridCol w:w="2041"/>
        <w:gridCol w:w="1846"/>
        <w:gridCol w:w="2137"/>
        <w:gridCol w:w="1958"/>
      </w:tblGrid>
      <w:tr>
        <w:trPr>
          <w:tblHeader w:val="true"/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Playwright MCP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Chrome DevTools MCP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Browser Use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Computer Use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原理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读取 Accessibility Tree / DOM 快照并按节点操作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 CDP 与浏览器引擎通信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Python + Playwright，AI 自主决策，支持 DOM 与截图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截图→视觉识别→坐标/按键→沙箱执行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抽象层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Accessibility Tree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CDP Protocol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+ 截图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截图 + 坐标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后端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Playwright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Puppeteer + CDP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Playwright + Python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 Computer Use API + 沙箱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研究速度量级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快，约 0.9 秒/步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中，约 1.2 秒/步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中，约 1.5 秒/步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慢，约 0.8—2 秒/步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特征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高，结构和截图可能全传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中，按需取数据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CLI 模式较低，研究值约 75 token/步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高，截图编码开销大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 重页面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可读时稳定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可直接取 CDP 数据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失败时可视觉兜底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依赖视觉理解</w:t>
            </w:r>
          </w:p>
        </w:tc>
      </w:tr>
      <w:tr>
        <w:trPr>
          <w:cantSplit w:val="true"/>
        </w:trPr>
        <w:tc>
          <w:tcPr>
            <w:tcW w:type="dxa" w:w="1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跨应用</w:t>
            </w:r>
          </w:p>
        </w:tc>
        <w:tc>
          <w:tcPr>
            <w:tcW w:type="dxa" w:w="20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仅浏览器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仅浏览器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仅浏览器</w:t>
            </w:r>
          </w:p>
        </w:tc>
        <w:tc>
          <w:tcPr>
            <w:tcW w:type="dxa" w:w="1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整个桌面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选型原则是从低成本、结构化工具开始，只有结构化信息无法证明结果时才升级到视觉：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固定 DOM/API 可验证 → Playwright / DevTools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页面未知、流程需探索 → Browser Use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Canvas、WebGL、动效、布局 → 截图 + 视觉模型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跨浏览器与其他桌面应用 → Computer Use</w:t>
      </w:r>
    </w:p>
    <w:p>
      <w:bookmarkStart w:id="132" w:name="AXH_32_0a4b3332"/>
      <w:pPr>
        <w:pStyle w:val="Heading2"/>
      </w:pPr>
      <w:r>
        <w:rPr>
          <w:rFonts w:ascii="Arial" w:hAnsi="Arial" w:eastAsia="宋体" w:cs="Arial"/>
          <w:b/>
          <w:i w:val="0"/>
        </w:rPr>
        <w:t>4.3 从测试用例生成 E2E 的三段法</w:t>
      </w:r>
      <w:bookmarkEnd w:id="1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手册给出一条高价值路线：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62375"/>
            <wp:docPr id="6" name="Picture 6" descr="4.3 从测试用例生成 E2E 的三段法（流程/架构图）" title="4.3 从测试用例生成 E2E 的三段法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fb325f25d0b1ce8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6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5　4.3 从测试用例生成 E2E 的三段法（流程/架构图）</w:t>
      </w:r>
    </w:p>
    <w:p>
      <w:bookmarkStart w:id="133" w:name="AXH_33_26ab1d1b"/>
      <w:pPr>
        <w:pStyle w:val="Heading3"/>
      </w:pPr>
      <w:r>
        <w:rPr>
          <w:rFonts w:ascii="Arial" w:hAnsi="Arial" w:eastAsia="宋体" w:cs="Arial"/>
          <w:b/>
          <w:i w:val="0"/>
        </w:rPr>
        <w:t>第一段：Browser Use 探索</w:t>
      </w:r>
      <w:bookmarkEnd w:id="133"/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从测试用例出发，自主打开页面并完成流程；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记录实际操作轨迹、页面状态和失败位置；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发现真实可用的 locator、action 和 assertion；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适合页面还不稳定、选择器未知或用户流程需要发现的阶段；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会消耗模型 Token，不适合作为每次 CI 的唯一方式。</w:t>
      </w:r>
    </w:p>
    <w:p>
      <w:bookmarkStart w:id="134" w:name="AXH_34_25b6854c"/>
      <w:pPr>
        <w:pStyle w:val="Heading3"/>
      </w:pPr>
      <w:r>
        <w:rPr>
          <w:rFonts w:ascii="Arial" w:hAnsi="Arial" w:eastAsia="宋体" w:cs="Arial"/>
          <w:b/>
          <w:i w:val="0"/>
        </w:rPr>
        <w:t>第二段：Playwright 固化</w:t>
      </w:r>
      <w:bookmarkEnd w:id="134"/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将探索结果转成 TypeScript 测试；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使用角色、标签、占位符或稳定测试标识定位；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将用户动作和可观察断言写入脚本；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加入 CI 后可重复运行，不需要每次调用大模型；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页面变化导致失败时，先判断是产品回归还是脚本需要更新。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手册把这一步压缩为四个可执行动作：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要求 Browser Use 打开目标页面并完整走一遍流程；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从轨迹中提取 locator、action、assertion；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生成对应的 spec.ts 并加入 CI；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后续使用 Playwright 重复运行，不再调用模型。</w:t>
      </w:r>
    </w:p>
    <w:p>
      <w:bookmarkStart w:id="135" w:name="AXH_35_d9587c76"/>
      <w:pPr>
        <w:pStyle w:val="Heading3"/>
      </w:pPr>
      <w:r>
        <w:rPr>
          <w:rFonts w:ascii="Arial" w:hAnsi="Arial" w:eastAsia="宋体" w:cs="Arial"/>
          <w:b/>
          <w:i w:val="0"/>
        </w:rPr>
        <w:t>第三段：截图视觉兜底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Accessibility Tree 无法覆盖：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布局偏移和样式异常；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加载态、过渡动画和动效完成；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Canvas、WebGL、图表或游戏画面；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元素可见但被其他图层遮挡。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这类场景由 Playwright 访问页面并截图，再由图像比较或视觉模型判断。视觉工具只补结构化测试的盲区，不取代结构化断言。</w:t>
      </w:r>
    </w:p>
    <w:p>
      <w:bookmarkStart w:id="136" w:name="AXH_36_a127b92f"/>
      <w:pPr>
        <w:pStyle w:val="Heading2"/>
      </w:pPr>
      <w:r>
        <w:rPr>
          <w:rFonts w:ascii="Arial" w:hAnsi="Arial" w:eastAsia="宋体" w:cs="Arial"/>
          <w:b/>
          <w:i w:val="0"/>
        </w:rPr>
        <w:t>4.4 Playwright 脚本的最小结构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手册中的登录示例体现了稳定 E2E 的五个部分：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明确起点，例如打开登录页；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通过可读语义定位输入框和按钮；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输入确定测试数据；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执行单一用户动作；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同时断言 URL 和页面可见结果。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对于非登录功能，可以先通过 API 建立测试前置状态，再进入页面验证，以减少 UI 准备步骤造成的不稳定。API 只负责准备已知状态，用户真正要验证的交互仍必须从页面执行。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一个最小脚本骨架如下：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TYPESCRIPT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import { test, expect } from '@playwright/test'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test('login success and dashboard visible', async ({ page }) =&gt; {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page.goto('/login')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page.getByPlaceholder('Email').fill('test@example.com')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page.getByPlaceholder('Password').fill('123456')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page.getByRole('button', { name: 'Login' }).click()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expect(page).toHaveURL(/dashboard/)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await expect(page.getByText('Welcome')).toBeVisible()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})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手册还展示了 “通过 API 登录并设置 session” 的稳定化方向：认证本身不是本轮测试对象时，可以用 API 准备登录态；认证就是测试对象时，必须保留完整 UI 登录链路。</w:t>
      </w:r>
    </w:p>
    <w:p>
      <w:bookmarkStart w:id="137" w:name="AXH_37_881e59c1"/>
      <w:pPr>
        <w:pStyle w:val="Heading2"/>
      </w:pPr>
      <w:r>
        <w:rPr>
          <w:rFonts w:ascii="Arial" w:hAnsi="Arial" w:eastAsia="宋体" w:cs="Arial"/>
          <w:b/>
          <w:i w:val="0"/>
        </w:rPr>
        <w:t>4.5 E2E 超级 Loop</w:t>
      </w:r>
      <w:bookmarkEnd w:id="1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研发自测 Loop 关注局部代码是否收敛；E2E 超级 Loop 将需求规格、界面原型和完整用户流程纳入同一个准出循环。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2933362" cy="6629400"/>
            <wp:docPr id="7" name="Picture 7" descr="4.5 E2E 超级 Loop（流程/架构图）" title="4.5 E2E 超级 Loop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abce6f0890e78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362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6　4.5 E2E 超级 Loop（流程/架构图）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超级 Loop 的规则是：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Plan 在执行前确认；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测试用例在实现前写清；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API 测试必须能证明失败；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实现包含单元测试并通过编译；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失败测试必须修复，不能跳过；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浏览器调试确认真实视觉和交互；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Playwright 覆盖本轮需求场景；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只有全部准出要求满足，模型才退出。</w:t>
      </w:r>
    </w:p>
    <w:p>
      <w:bookmarkStart w:id="138" w:name="AXH_38_d85d280d"/>
      <w:pPr>
        <w:pStyle w:val="Heading2"/>
      </w:pPr>
      <w:r>
        <w:rPr>
          <w:rFonts w:ascii="Arial" w:hAnsi="Arial" w:eastAsia="宋体" w:cs="Arial"/>
          <w:b/>
          <w:i w:val="0"/>
        </w:rPr>
        <w:t>4.6 AXIOM Space 的浏览器双轨实践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同时保留探索轨和固化轨：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轨道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实现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具体设计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探索轨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scripts/a3_browser_use.py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从场景和证明标准构造任务；设置登录状态；限制退出、删除、归档等危险操作；要求 PASS/PARTIAL/FAIL；输出 actions、visible evidence、missing evidence、bugs、next-scene readiness；保存 history、conversation、trace、截图和可选视频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固化轨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test/e2e/sdd-ui.spec.ts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固化入口、模式切换、弹窗无副作用、Forge 面板状态、遮挡检测、快捷键无领域写入、未登录入口等确定性契约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运行配置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playwright.config.ts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 1920×1080 Chromium；单 worker；失败保留 trace；失败截图；动作、导航和整体超时分开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这套设计直接验证了手册的关键判断：</w:t>
      </w:r>
      <w:r>
        <w:rPr>
          <w:rFonts w:ascii="Arial" w:hAnsi="Arial" w:eastAsia="宋体" w:cs="Arial"/>
          <w:b/>
          <w:i w:val="0"/>
        </w:rPr>
        <w:t>探索和回归必须分离。</w:t>
      </w:r>
      <w:r>
        <w:rPr>
          <w:rFonts w:ascii="Arial" w:hAnsi="Arial" w:eastAsia="宋体" w:cs="Arial"/>
          <w:b w:val="0"/>
          <w:i w:val="0"/>
        </w:rPr>
        <w:t xml:space="preserve"> AI 负责发现真实路径，Playwright 负责把已经发现的正确路径变成低成本、可重复的工程资产。</w:t>
      </w:r>
    </w:p>
    <w:p>
      <w:bookmarkStart w:id="139" w:name="AXH_39_4be2b3a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Agent as Code：把 AI 工程能力纳入仓库</w:t>
      </w:r>
      <w:bookmarkEnd w:id="139"/>
    </w:p>
    <w:p>
      <w:bookmarkStart w:id="140" w:name="AXH_40_eec6f951"/>
      <w:pPr>
        <w:pStyle w:val="Heading2"/>
      </w:pPr>
      <w:r>
        <w:rPr>
          <w:rFonts w:ascii="Arial" w:hAnsi="Arial" w:eastAsia="宋体" w:cs="Arial"/>
          <w:b/>
          <w:i w:val="0"/>
        </w:rPr>
        <w:t>5.1 工作定义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Agent as Code 指将 AI 协作所需的规则、规格、能力、权限和反馈，与源代码一样版本化管理。它不是把聊天记录全部提交，而是保存下一位成员或下一种 AI 工具完成工作所需的稳定资产。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必须纳入版本治理的内容包括：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项目架构和依赖方向；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目录、命名、数据和安全规则；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需求、领域、API 和测试规格；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Skills、MCP、Commands 和可重复脚本；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AI 工具权限与配置；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测试入口、证据格式和失败处理；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关键架构决策和迁移方向。</w:t>
      </w:r>
    </w:p>
    <w:p>
      <w:bookmarkStart w:id="141" w:name="AXH_41_4c765afc"/>
      <w:pPr>
        <w:pStyle w:val="Heading2"/>
      </w:pPr>
      <w:r>
        <w:rPr>
          <w:rFonts w:ascii="Arial" w:hAnsi="Arial" w:eastAsia="宋体" w:cs="Arial"/>
          <w:b/>
          <w:i w:val="0"/>
        </w:rPr>
        <w:t>5.2 多工具共享的文件设计</w:t>
      </w:r>
      <w:bookmarkEnd w:id="14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手册研究了多种方式后，选择由 AGENTS.md 建立引用关系：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2055"/>
            <wp:docPr id="8" name="Picture 8" descr="5.2 多工具共享的文件设计（流程/架构图）" title="5.2 多工具共享的文件设计（流程/架构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a4f6d8f5018b75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7　5.2 多工具共享的文件设计（流程/架构图）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其目标是一个事实、多种入口：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AGENTS.md 只保存顶层规则和真源索引；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docs 保存业务和技术事实；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.ai 保存可复用执行能力；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各工具目录通过引用或软链接使用同一能力；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禁止为不同工具复制并长期维护互相漂移的规则。</w:t>
      </w:r>
    </w:p>
    <w:p>
      <w:bookmarkStart w:id="142" w:name="AXH_42_baef02a4"/>
      <w:pPr>
        <w:pStyle w:val="Heading2"/>
      </w:pPr>
      <w:r>
        <w:rPr>
          <w:rFonts w:ascii="Arial" w:hAnsi="Arial" w:eastAsia="宋体" w:cs="Arial"/>
          <w:b/>
          <w:i w:val="0"/>
        </w:rPr>
        <w:t>5.3 AXIOM Space 的实现方式</w:t>
      </w:r>
      <w:bookmarkEnd w:id="14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当前采用双入口、同口径维护：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AGENTS.md 供 Codex 和通用 Agent 读取；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CLAUDE.md 供 Claude Code 读取；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两份规则维持相同架构、技术栈和开发边界；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.codex/config.toml 保存 Codex 项目配置；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.claude/settings.local.json 将命令权限限制在项目需要的范围；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docs/00—02 保存研究、规格和过程决定；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test/ 和 scripts/test/ 保存反馈与证据入口。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项目没有为了追求目录形式强制引入软链接。Agent as Code 的判断标准是规则和能力是否有明确真源、是否随代码审查、是否能被不同工具一致执行。</w:t>
      </w:r>
    </w:p>
    <w:p>
      <w:bookmarkStart w:id="143" w:name="AXH_43_cecdf2b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团队实践验证与最终方法论</w:t>
      </w:r>
      <w:bookmarkEnd w:id="143"/>
    </w:p>
    <w:p>
      <w:bookmarkStart w:id="144" w:name="AXH_44_55db77c8"/>
      <w:pPr>
        <w:pStyle w:val="Heading2"/>
      </w:pPr>
      <w:r>
        <w:rPr>
          <w:rFonts w:ascii="Arial" w:hAnsi="Arial" w:eastAsia="宋体" w:cs="Arial"/>
          <w:b/>
          <w:i w:val="0"/>
        </w:rPr>
        <w:t>6.1 我们具体设计了什么</w:t>
      </w:r>
      <w:bookmarkEnd w:id="14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团队没有把手册停留在概念层，而是形成了六个可执行设计：</w:t>
      </w:r>
    </w:p>
    <w:p>
      <w:bookmarkStart w:id="145" w:name="AXH_45_6efe345d"/>
      <w:pPr>
        <w:pStyle w:val="Heading3"/>
      </w:pPr>
      <w:r>
        <w:rPr>
          <w:rFonts w:ascii="Arial" w:hAnsi="Arial" w:eastAsia="宋体" w:cs="Arial"/>
          <w:b/>
          <w:i w:val="0"/>
        </w:rPr>
        <w:t>设计一：全生命周期人工/机器分工</w:t>
      </w:r>
      <w:bookmarkEnd w:id="14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需求研究和关键取舍由人主责；AI 负责整理、推演和生成候选；编码和测试由 AI 高频执行；验收、权限、合并和发布仍由人签发。机器参与范围扩大，但责任没有转移。</w:t>
      </w:r>
    </w:p>
    <w:p>
      <w:bookmarkStart w:id="146" w:name="AXH_46_63032108"/>
      <w:pPr>
        <w:pStyle w:val="Heading3"/>
      </w:pPr>
      <w:r>
        <w:rPr>
          <w:rFonts w:ascii="Arial" w:hAnsi="Arial" w:eastAsia="宋体" w:cs="Arial"/>
          <w:b/>
          <w:i w:val="0"/>
        </w:rPr>
        <w:t>设计二：项目级上下文真源</w:t>
      </w:r>
      <w:bookmarkEnd w:id="14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原始问题、当前规格、过程决策、实现事实和对外文档分层保存。AI 修改前先加载项目宪法、相关规格、源码和测试，不依据文件名或旧聊天猜实现。</w:t>
      </w:r>
    </w:p>
    <w:p>
      <w:bookmarkStart w:id="147" w:name="AXH_47_6702ae49"/>
      <w:pPr>
        <w:pStyle w:val="Heading3"/>
      </w:pPr>
      <w:r>
        <w:rPr>
          <w:rFonts w:ascii="Arial" w:hAnsi="Arial" w:eastAsia="宋体" w:cs="Arial"/>
          <w:b/>
          <w:i w:val="0"/>
        </w:rPr>
        <w:t>设计三：规格编译链</w:t>
      </w:r>
      <w:bookmarkEnd w:id="1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用户问题被编译为模块、字段、原型、规则，再编译为领域对象、接口、用例和断言。规格不是代码旁边的解释，而是测试和代码的上游输入。</w:t>
      </w:r>
    </w:p>
    <w:p>
      <w:bookmarkStart w:id="148" w:name="AXH_48_2b97bd75"/>
      <w:pPr>
        <w:pStyle w:val="Heading3"/>
      </w:pPr>
      <w:r>
        <w:rPr>
          <w:rFonts w:ascii="Arial" w:hAnsi="Arial" w:eastAsia="宋体" w:cs="Arial"/>
          <w:b/>
          <w:i w:val="0"/>
        </w:rPr>
        <w:t>设计四：双层 Loop</w:t>
      </w:r>
      <w:bookmarkEnd w:id="14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核心 Loop 负责单元/API/浏览器调试的快速收敛；E2E 超级 Loop 负责从需求到页面、Bug、Review 和部署的全链路收敛。两个 Loop 都以确定性准出条件退出。</w:t>
      </w:r>
    </w:p>
    <w:p>
      <w:bookmarkStart w:id="149" w:name="AXH_49_9fb1deae"/>
      <w:pPr>
        <w:pStyle w:val="Heading3"/>
      </w:pPr>
      <w:r>
        <w:rPr>
          <w:rFonts w:ascii="Arial" w:hAnsi="Arial" w:eastAsia="宋体" w:cs="Arial"/>
          <w:b/>
          <w:i w:val="0"/>
        </w:rPr>
        <w:t>设计五：浏览器探索—固化—视觉兜底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Browser Use 发现路径，Playwright 固化路径，截图/视觉只补结构化测试盲区。这样既利用 Agent 的探索能力，又避免每次回归都消耗模型 Token。</w:t>
      </w:r>
    </w:p>
    <w:p>
      <w:bookmarkStart w:id="150" w:name="AXH_50_743588e9"/>
      <w:pPr>
        <w:pStyle w:val="Heading3"/>
      </w:pPr>
      <w:r>
        <w:rPr>
          <w:rFonts w:ascii="Arial" w:hAnsi="Arial" w:eastAsia="宋体" w:cs="Arial"/>
          <w:b/>
          <w:i w:val="0"/>
        </w:rPr>
        <w:t>设计六：Agent as Code</w:t>
      </w:r>
      <w:bookmarkEnd w:id="15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规则、文档、工具配置、测试脚本和证据格式进入仓库。团队能力不依赖某个成员保存的提示词，也不依赖某个 AI IDE 的私有记忆。</w:t>
      </w:r>
    </w:p>
    <w:p>
      <w:bookmarkStart w:id="151" w:name="AXH_51_0620ad9c"/>
      <w:pPr>
        <w:pStyle w:val="Heading2"/>
      </w:pPr>
      <w:r>
        <w:rPr>
          <w:rFonts w:ascii="Arial" w:hAnsi="Arial" w:eastAsia="宋体" w:cs="Arial"/>
          <w:b/>
          <w:i w:val="0"/>
        </w:rPr>
        <w:t>6.2 我们具体检验了什么</w:t>
      </w:r>
      <w:bookmarkEnd w:id="151"/>
    </w:p>
    <w:p>
      <w:bookmarkStart w:id="152" w:name="AXH_52_841bc28f"/>
      <w:pPr>
        <w:pStyle w:val="Heading3"/>
      </w:pPr>
      <w:r>
        <w:rPr>
          <w:rFonts w:ascii="Arial" w:hAnsi="Arial" w:eastAsia="宋体" w:cs="Arial"/>
          <w:b/>
          <w:i w:val="0"/>
        </w:rPr>
        <w:t>检验一：规格是否真的可执行</w:t>
      </w:r>
      <w:bookmarkEnd w:id="1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将 SDD 规格拆成 289 条稳定编号用例。每条用例必须有测试方式、输入、预期输出、通过标准、失败假设和来源指针。当前复核执行：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pnpm test:acceptance:list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Total acceptance cases: 289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用例覆盖 6 条主链路、72 个核心对象、75 个细对象、聚合/服务/事件/运行时对象、6 个用户场景和 20 个 P0/P1/P2 执行入口。这个结果证明规格已经从长文档进入可被程序读取和计数的结构。</w:t>
      </w:r>
    </w:p>
    <w:p>
      <w:bookmarkStart w:id="153" w:name="AXH_53_bf9a795f"/>
      <w:pPr>
        <w:pStyle w:val="Heading3"/>
      </w:pPr>
      <w:r>
        <w:rPr>
          <w:rFonts w:ascii="Arial" w:hAnsi="Arial" w:eastAsia="宋体" w:cs="Arial"/>
          <w:b/>
          <w:i w:val="0"/>
        </w:rPr>
        <w:t>检验二：通过标准能否被编译为机器判断</w:t>
      </w:r>
      <w:bookmarkEnd w:id="1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test/acceptance/sdd-executable-contract.ts 会检查：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测试方式是否属于已支持类型；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来源文件和章节是否可追溯；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通过标准是否含状态、字段、数量、错误、来源或副作用边界；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失败假设是否能对应同一类判断；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P0、Agent、UI、RAG 等不同用例是否含本领域所需契约。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因此，规格不能只写“表现正常”“体验良好”；它必须能转化为断言。</w:t>
      </w:r>
    </w:p>
    <w:p>
      <w:bookmarkStart w:id="154" w:name="AXH_54_e03d6643"/>
      <w:pPr>
        <w:pStyle w:val="Heading3"/>
      </w:pPr>
      <w:r>
        <w:rPr>
          <w:rFonts w:ascii="Arial" w:hAnsi="Arial" w:eastAsia="宋体" w:cs="Arial"/>
          <w:b/>
          <w:i w:val="0"/>
        </w:rPr>
        <w:t>检验三：真实代码是否存在对应锚点</w:t>
      </w:r>
      <w:bookmarkEnd w:id="15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验收层不仅检查文档数量，还通过真实项目 adapter 检查数据库、API、领域、Agent 和 UI 锚点。规格与代码之间没有对应入口时，不能仅靠文档宣布完成。</w:t>
      </w:r>
    </w:p>
    <w:p>
      <w:bookmarkStart w:id="155" w:name="AXH_55_40b9913f"/>
      <w:pPr>
        <w:pStyle w:val="Heading3"/>
      </w:pPr>
      <w:r>
        <w:rPr>
          <w:rFonts w:ascii="Arial" w:hAnsi="Arial" w:eastAsia="宋体" w:cs="Arial"/>
          <w:b/>
          <w:i w:val="0"/>
        </w:rPr>
        <w:t>检验四：浏览器 Agent 能否受到测试规范约束</w:t>
      </w:r>
      <w:bookmarkEnd w:id="15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Browser Use 执行器不是一句“帮我测一下”。它将场景、证明标准、导航边界、危险动作、停止条件和最终报告格式一起交给 Agent，并保存操作历史和可视证据。该设计检验了：浏览器 Agent 只有在任务、权限和证据三者同时明确时，才适合进入自动化流程。</w:t>
      </w:r>
    </w:p>
    <w:p>
      <w:bookmarkStart w:id="156" w:name="AXH_56_1e4acd9b"/>
      <w:pPr>
        <w:pStyle w:val="Heading3"/>
      </w:pPr>
      <w:r>
        <w:rPr>
          <w:rFonts w:ascii="Arial" w:hAnsi="Arial" w:eastAsia="宋体" w:cs="Arial"/>
          <w:b/>
          <w:i w:val="0"/>
        </w:rPr>
        <w:t>检验五：探索结果能否沉淀为零模型调用回归</w:t>
      </w:r>
      <w:bookmarkEnd w:id="1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Playwright 测试将模式切换、弹窗副作用、面板状态、控件遮挡、快捷键和未登录入口固化为代码。后续运行由浏览器测试引擎直接完成，不依赖模型重新理解同一页面。</w:t>
      </w:r>
    </w:p>
    <w:p>
      <w:bookmarkStart w:id="157" w:name="AXH_57_2f97c23a"/>
      <w:pPr>
        <w:pStyle w:val="Heading2"/>
      </w:pPr>
      <w:r>
        <w:rPr>
          <w:rFonts w:ascii="Arial" w:hAnsi="Arial" w:eastAsia="宋体" w:cs="Arial"/>
          <w:b/>
          <w:i w:val="0"/>
        </w:rPr>
        <w:t>6.3 实践中得到的七条方法论</w:t>
      </w:r>
      <w:bookmarkEnd w:id="157"/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Rule 不是终点。</w:t>
      </w:r>
      <w:r>
        <w:rPr>
          <w:rFonts w:ascii="Arial" w:hAnsi="Arial" w:eastAsia="宋体" w:cs="Arial"/>
          <w:b w:val="0"/>
          <w:i w:val="0"/>
        </w:rPr>
        <w:t xml:space="preserve"> Rule 只能减少越界，不能证明需求正确；必须继续连接 Spec 和测试。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Spec 不是文档数量。</w:t>
      </w:r>
      <w:r>
        <w:rPr>
          <w:rFonts w:ascii="Arial" w:hAnsi="Arial" w:eastAsia="宋体" w:cs="Arial"/>
          <w:b w:val="0"/>
          <w:i w:val="0"/>
        </w:rPr>
        <w:t xml:space="preserve"> 能产生字段、状态、错误、来源和断言的规格才有执行价值。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测试是 Agent 的反馈接口。</w:t>
      </w:r>
      <w:r>
        <w:rPr>
          <w:rFonts w:ascii="Arial" w:hAnsi="Arial" w:eastAsia="宋体" w:cs="Arial"/>
          <w:b w:val="0"/>
          <w:i w:val="0"/>
        </w:rPr>
        <w:t xml:space="preserve"> 没有确定性失败，AI 无法可靠自我修复；没有准出标准，循环无法正确停止。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过程方案和事实方案必须分开。</w:t>
      </w:r>
      <w:r>
        <w:rPr>
          <w:rFonts w:ascii="Arial" w:hAnsi="Arial" w:eastAsia="宋体" w:cs="Arial"/>
          <w:b w:val="0"/>
          <w:i w:val="0"/>
        </w:rPr>
        <w:t xml:space="preserve"> 否则 AI 会把旧候选当现状，或把最终结果伪装成最初决定。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探索和回归必须分开。</w:t>
      </w:r>
      <w:r>
        <w:rPr>
          <w:rFonts w:ascii="Arial" w:hAnsi="Arial" w:eastAsia="宋体" w:cs="Arial"/>
          <w:b w:val="0"/>
          <w:i w:val="0"/>
        </w:rPr>
        <w:t xml:space="preserve"> 用智能 Agent 发现路径，用确定脚本重复路径，用视觉模型补盲区。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样板比堆规则更有效。</w:t>
      </w:r>
      <w:r>
        <w:rPr>
          <w:rFonts w:ascii="Arial" w:hAnsi="Arial" w:eastAsia="宋体" w:cs="Arial"/>
          <w:b w:val="0"/>
          <w:i w:val="0"/>
        </w:rPr>
        <w:t xml:space="preserve"> 一个正确的端到端打样工程能同时表达层次、命名、调用顺序和错误处理。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/>
          <w:i w:val="0"/>
        </w:rPr>
        <w:t>每个项目必须建立自己的 Harness。</w:t>
      </w:r>
      <w:r>
        <w:rPr>
          <w:rFonts w:ascii="Arial" w:hAnsi="Arial" w:eastAsia="宋体" w:cs="Arial"/>
          <w:b w:val="0"/>
          <w:i w:val="0"/>
        </w:rPr>
        <w:t xml:space="preserve"> 开箱框架可以取用方法，但最终规则、规格、工具和证据必须服从项目事实。</w:t>
      </w:r>
    </w:p>
    <w:p>
      <w:bookmarkStart w:id="158" w:name="AXH_58_c4770345"/>
      <w:pPr>
        <w:pStyle w:val="Heading2"/>
      </w:pPr>
      <w:r>
        <w:rPr>
          <w:rFonts w:ascii="Arial" w:hAnsi="Arial" w:eastAsia="宋体" w:cs="Arial"/>
          <w:b/>
          <w:i w:val="0"/>
        </w:rPr>
        <w:t>6.4 哪些内容是已采用、选型参考和按需启用</w:t>
      </w:r>
      <w:bookmarkEnd w:id="1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团队结论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已采用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项目规则、SDD 文档链、DDD/TDD、稳定用例、测试 Loop、Browser Use 探索、Playwright 固化、AI 配置入库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已成为 AXIOM 工程方式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选型参考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BMAD、Spec Kit、OpenSpec、Kiro、Superpower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提取机制，不整体绑定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按需启用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Worktree 多任务并行、更多 MCP、跨 IDE 软链接、Computer 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任务需要且边界可隔离时启用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这种分类避免两种错误：没有使用的工具不包装成既成事实；已经内化的方法也不因为未安装某个插件而被低估。</w:t>
      </w:r>
    </w:p>
    <w:p>
      <w:bookmarkStart w:id="159" w:name="AXH_59_45bf6a33"/>
      <w:pPr>
        <w:pStyle w:val="Heading2"/>
      </w:pPr>
      <w:r>
        <w:rPr>
          <w:rFonts w:ascii="Arial" w:hAnsi="Arial" w:eastAsia="宋体" w:cs="Arial"/>
          <w:b/>
          <w:i w:val="0"/>
        </w:rPr>
        <w:t>6.5 最终工作法</w:t>
      </w:r>
      <w:bookmarkEnd w:id="159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研究真实问题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写模块、字段、原型、规则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建立领域/API/数据库/时序规格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加载项目 Rules 与事实方案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在 Plan 中关闭开放问题并确认权限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先建立失败测试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AI 编写最小实现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单元/API/浏览器测试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失败返回实现 Loop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Browser Use 探索未知页面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Playwright 固化确定路径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Code Review 与人工验收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→ 更新事实、决策和证据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→ 合并与交付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这套流程把“AI 能写代码”提升为“团队能稳定地驾驭 AI 完成软件工程”。</w:t>
      </w:r>
    </w:p>
    <w:p>
      <w:bookmarkStart w:id="160" w:name="AXH_60_1f39e97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AXIOM Space 的落地旁证</w:t>
      </w:r>
      <w:bookmarkEnd w:id="1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本章只说明手册方法在项目中对应什么，不展开产品运行时设计。</w:t>
      </w:r>
    </w:p>
    <w:p>
      <w:bookmarkStart w:id="161" w:name="AXH_61_2e60c08f"/>
      <w:pPr>
        <w:pStyle w:val="Heading2"/>
      </w:pPr>
      <w:r>
        <w:rPr>
          <w:rFonts w:ascii="Arial" w:hAnsi="Arial" w:eastAsia="宋体" w:cs="Arial"/>
          <w:b/>
          <w:i w:val="0"/>
        </w:rPr>
        <w:t>7.1 开发阶段 AI 工具</w:t>
      </w:r>
      <w:bookmarkEnd w:id="1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工具或能力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在项目中的职责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治理方式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OpenAI Codex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仓库检索、方案推演、补丁实现、命令验证、文档整合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读取 AGENTS.md；变更以 diff 审查；测试结果决定接受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Claude Code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代码理解、实现协作、受控命令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读取 CLAUDE.md；.claude/settings.local.json 限制命令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Browser 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未知页面和真实用户场景探索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场景化任务、危险动作约束、证据与状态报告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已知流程的固定 E2E 回归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固定视口、失败 trace/截图、确定性断言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 / Skills / Commands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外部连接、复用能力和直接执行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由项目规则、权限和任务范围决定是否可用</w:t>
            </w:r>
          </w:p>
        </w:tc>
      </w:tr>
    </w:tbl>
    <w:p>
      <w:pPr>
        <w:spacing w:after="40"/>
      </w:pPr>
    </w:p>
    <w:p>
      <w:bookmarkStart w:id="162" w:name="AXH_62_a3f18a89"/>
      <w:pPr>
        <w:pStyle w:val="Heading2"/>
      </w:pPr>
      <w:r>
        <w:rPr>
          <w:rFonts w:ascii="Arial" w:hAnsi="Arial" w:eastAsia="宋体" w:cs="Arial"/>
          <w:b/>
          <w:i w:val="0"/>
        </w:rPr>
        <w:t>7.2 产品运行时 AI 能力</w:t>
      </w:r>
      <w:bookmarkEnd w:id="16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运行时 AI 不是本手册的主体，仅作项目能力披露：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能力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当前事实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 OpenAI-compatible 接口作为当前运行基线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科大讯飞星火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已完成 v1.1、v2、v3.5 WebSocket 适配、HMAC-SHA256 鉴权、流式聚合、Token 用量、超时和兼容性探测，可按部署方案启用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PI Agent Core / PI AI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提供消息循环、模型抽象和工具调用底座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Agent Harness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自研上下文装配、意图路由、工具治理、后台证据分析、资源编排和页面反馈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Ollama + BGE-M3 + Qdrant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本地语义嵌入和 Vault 作用域向量召回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可重建的图增强检索派生层</w:t>
            </w:r>
          </w:p>
        </w:tc>
      </w:tr>
    </w:tbl>
    <w:p>
      <w:pPr>
        <w:spacing w:after="40"/>
      </w:pPr>
    </w:p>
    <w:p>
      <w:bookmarkStart w:id="163" w:name="AXH_63_efd2a7f4"/>
      <w:pPr>
        <w:pStyle w:val="Heading2"/>
      </w:pPr>
      <w:r>
        <w:rPr>
          <w:rFonts w:ascii="Arial" w:hAnsi="Arial" w:eastAsia="宋体" w:cs="Arial"/>
          <w:b/>
          <w:i w:val="0"/>
        </w:rPr>
        <w:t>7.3 项目文档与方法论的对应</w:t>
      </w:r>
      <w:bookmarkEnd w:id="1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手册方法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AXIOM 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需求规格四元结构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用户研究、MVP、PRD、DDD、TDD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Rules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AGENTS.md、CLAUDE.md、开发技术规范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Specification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01-SDD 全链路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 / Commands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scripts/、scripts/test/、package scripts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 Loop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测试先行、Node 验收、API/Agent/Sidecar/UI 契约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 超级 Loop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Browser Use 执行器、Playwright E2E、测试证据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as Code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规则、AI 配置、文档和测试均进入仓库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过程/事实分离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02 号决策记录与当前源码/规格分开</w:t>
            </w:r>
          </w:p>
        </w:tc>
      </w:tr>
    </w:tbl>
    <w:p>
      <w:pPr>
        <w:spacing w:after="40"/>
      </w:pPr>
    </w:p>
    <w:p>
      <w:bookmarkStart w:id="164" w:name="AXH_64_f476032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30 页 PPT 逐页研究与执行说明</w:t>
      </w:r>
      <w:bookmarkEnd w:id="16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本章按 PDF 文件的物理页序 1—30 逐页说明。章节分隔页也保留，因为它们定义了方法责任边界，不将其误写成独立技术。</w:t>
      </w:r>
    </w:p>
    <w:p>
      <w:bookmarkStart w:id="165" w:name="AXH_65_4583f0e6"/>
      <w:pPr>
        <w:pStyle w:val="Heading2"/>
      </w:pPr>
      <w:r>
        <w:rPr>
          <w:rFonts w:ascii="Arial" w:hAnsi="Arial" w:eastAsia="宋体" w:cs="Arial"/>
          <w:b/>
          <w:i w:val="0"/>
        </w:rPr>
        <w:t>8.1 第 1—5 页：方法论全景</w:t>
      </w:r>
      <w:bookmarkEnd w:id="1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267"/>
        <w:gridCol w:w="2513"/>
        <w:gridCol w:w="2518"/>
        <w:gridCol w:w="2173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封面与版本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将研究成果命名为《团队级 AI Coding 简明手册 v0.2》，时间基线为 2026.06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把版本号、日期和研究范围作为受控基线；后续修改必须能够说明相对 v0.2 增加、删除或修正了什么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方法论不是临时聊天结论，而是可迭代的团队知识资产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编程思想发展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原始阶段→Rule→SDD→Loop Engineering→Harness Engineering；强调每次变化是对前者的重述和扩展，不是简单推翻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先识别团队当前所处阶段，再补缺失能力；Rules 不成熟时不直接谈无人值守，Spec 不可验收时不直接跑 Loop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团队目标从“半自动、有人值守”推进到“Plan 后在已批准范围内自动执行”；AXIOM 定位于 Harness 阶段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用问题描述处境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将模糊的“AI 开发难”拆成需求衔接、开发实现、测试验收、Agent as Code 四个问题域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对每个问题域分别建立模板、真源、执行工具和验收方式；不得用一个通用 Prompt 混合处理全部责任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形成四章方法结构，也是 09 号文档的主体结构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赋能软件开发实现地图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将人和机器放入需求分析、技术方案、编码、研发自测、QA 测试全生命周期；区分核心 Loop 和全流程超级 Loop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人负责竞品、访谈、关键设计和签发；AI 参与文档、代码、测试和修复；失败通过 Bug 回流到实现；E2E 通过后才部署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Coding 被定义为全流程协作系统，不再等同于代码补全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赋能软件开发工具体系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为需求规格、技术规格、代码、Bug 报告、E2E、部署等产物设置模板和 AI 工具入口</w:t>
            </w:r>
          </w:p>
        </w:tc>
        <w:tc>
          <w:tcPr>
            <w:tcW w:type="dxa" w:w="2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每个阶段明确输入模板→AI IDE/MCP/Playwright→结构化输出；输出继续作为下一阶段输入</w:t>
            </w:r>
          </w:p>
        </w:tc>
        <w:tc>
          <w:tcPr>
            <w:tcW w:type="dxa" w:w="21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形成可追踪的制品流水线，避免自然语言需求直接跳到生产代码</w:t>
            </w:r>
          </w:p>
        </w:tc>
      </w:tr>
    </w:tbl>
    <w:p>
      <w:pPr>
        <w:spacing w:after="40"/>
      </w:pPr>
    </w:p>
    <w:p>
      <w:bookmarkStart w:id="166" w:name="AXH_66_93ccda42"/>
      <w:pPr>
        <w:pStyle w:val="Heading2"/>
      </w:pPr>
      <w:r>
        <w:rPr>
          <w:rFonts w:ascii="Arial" w:hAnsi="Arial" w:eastAsia="宋体" w:cs="Arial"/>
          <w:b/>
          <w:i w:val="0"/>
        </w:rPr>
        <w:t>8.2 第 6—19 页：需求衔接与开发实现</w:t>
      </w:r>
      <w:bookmarkEnd w:id="16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128"/>
        <w:gridCol w:w="2483"/>
        <w:gridCol w:w="2654"/>
        <w:gridCol w:w="2206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需求衔接章节页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将需求阶段独立出来，强调 BA/产品工作也是 AI 工程的一部分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在编码前先完成需求结构、字段、原型和规则；BA 也在仓库中工作，并基于当前系统事实写变更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需求不是聊天输入，而是仓库中的开发起点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需求规格编写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定义“模块切分（增量/存量）+字段清单+原型链接+业务规则”四元结构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先写背景；一模块一文档；增量建立新模块，存量标明变化；字段写类型/必填/默认/描述/校验/UI/来源；规则编号并独立可测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 AI 能理解、研发能实现、测试能追踪的需求模板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原型图设计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比较 Figma/Stitch URL 与 HTML+CSS；提出 design.md 统一视觉风格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需求中标出 Frame/页面映射；需要交互和版本控制时交付 HTML/代码；从设计稿提炼 design.md，或从现有代码反推设计规则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原型成为可引用、可交互、可版本管理的规格；视觉规则不靠模型临场发挥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开发实现章节页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将开发阶段从需求衔接中分离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需求规格通过评审后才进入 Rules、Spec、Skills、工具、打样和 Loop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防止边写需求边写实现造成上下文漂移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如何让 AI 听话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明确 Rules、Specification、Skills 三种资产的差异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Rules 写可判定边界；Specification 把模糊要求收敛为用户故事和 AC；Skills 将提示词、脚本和模板封装为重复能力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单一“系统提示词”被拆成行为、目标和能力三个责任层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上下文体系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 AGENTS.md 宪法，以及 standards、features、plans、designs、others；区分过程方案和事实方案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Features 提供起点；Standards 提供约束；Plan 保存本轮方案和状态；Designs 以最终态维护；TDD 将变更写回事实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解决长任务上下文丢失、旧方案污染当前事实和维护成本过高的问题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12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调用外部工具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区分 MCP、Skills、Commands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 标准连接外部系统；Skills 封装可复用操作；Commands 直接执行 CLI 并可串联；三者均受权限控制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工具接入从“模型能不能调用”升级为“用哪一层、何时调用、怎样审计”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13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编程工具选择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将工具分为 CLI Agent、AI IDE、增强插件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长任务和仓库级执行用 Claude Code/Codex/OpenCode；高频局部编辑用 Cursor/Kiro/Trae；流程增强研究 Superpower 等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工具按工作形态选择，不按品牌决定方法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SDD 框架比较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从定位、生命周期、粒度、执行能力、行为结构、流程、Agent、验证、代码关系、场景和风险比较 BMAD、Spec Kit、OpenSpec、Kiro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先按团队规模、存量/增量、治理强度、自动验证和工具耦合做选择；不只比较文档数量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没有通用最佳框架；项目应提取合适机制并构建自己的 Harness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15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Superpower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用七个 Skills 串起 brainstorming→worktree→plan→execute→TDD→review→finish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设计先批准；隔离工作区；任务写明路径和验证；先规格审查再代码审查；RED/GREEN/REFACTOR；完成后明确分支处置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研究出一条完整 AI 开发秩序；团队吸收顺序，不把插件本身当作依赖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16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技术规格编写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规定领域模型、数据库、API、时序图、专题设计的 DSL 与硬约束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领域关系用图；数据库/API 必须可执行；时序必须对应真实调用链并含异常；专题文档只写策略和决定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技术设计由可校验语言表达，减少自然语言在实现阶段的二次猜测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17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打样工程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提出“约定大于配置、编排与原子能力分离、操作者与对象分离”，并给出三类 CQRUD 工序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选择一条正确端到端样板供 AI 复用；简单 CRUD、复杂业务和复杂查询走不同调用链；Repository/DomainService 边界固定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让 AI 通过正确代码学习架构；样板成为 Rules 的可运行证明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多任务同步开发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使用 Git Worktree 将同一仓库的不同分支映射到独立目录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为独立任务创建 worktree；分别初始化、测试、提交；检查列表；完成后移除；合并前做集成验证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并行建立在任务和文件隔离上，不以多个 Agent 同时写同一工作区冒充并行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19</w:t>
            </w:r>
          </w:p>
        </w:tc>
        <w:tc>
          <w:tcPr>
            <w:tcW w:type="dxa" w:w="1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完整核心 Loop</w:t>
            </w:r>
          </w:p>
        </w:tc>
        <w:tc>
          <w:tcPr>
            <w:tcW w:type="dxa" w:w="2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 Plan→确认→失败测试→实现→测试/浏览器调试→修复→准出的自治循环</w:t>
            </w:r>
          </w:p>
        </w:tc>
        <w:tc>
          <w:tcPr>
            <w:tcW w:type="dxa" w:w="2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 关闭开放问题并记录状态；先创建 API/单元测试；运行失败；写最小实现；反复修复；满足确定性标准后退出</w:t>
            </w:r>
          </w:p>
        </w:tc>
        <w:tc>
          <w:tcPr>
            <w:tcW w:type="dxa" w:w="22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自治依赖可读取的失败和明确退出条件；“生成完成”不再等于“任务完成”</w:t>
            </w:r>
          </w:p>
        </w:tc>
      </w:tr>
    </w:tbl>
    <w:p>
      <w:pPr>
        <w:spacing w:after="40"/>
      </w:pPr>
    </w:p>
    <w:p>
      <w:bookmarkStart w:id="167" w:name="AXH_67_8e6eeb09"/>
      <w:pPr>
        <w:pStyle w:val="Heading2"/>
      </w:pPr>
      <w:r>
        <w:rPr>
          <w:rFonts w:ascii="Arial" w:hAnsi="Arial" w:eastAsia="宋体" w:cs="Arial"/>
          <w:b/>
          <w:i w:val="0"/>
        </w:rPr>
        <w:t>8.3 第 20—27 页：测试验收与 Agent as Code</w:t>
      </w:r>
      <w:bookmarkEnd w:id="16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282"/>
        <w:gridCol w:w="2410"/>
        <w:gridCol w:w="2620"/>
        <w:gridCol w:w="2159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测试验收章节页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 QA 和研发自测从开发实现中独立出来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完成代码后仍需按测试对象、工具和负责人进入测试流程；不以 AI 参与为降低质量门槛的理由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测试是 AI 工程的反馈系统，不是展示材料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21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辅助测试策略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建立 Lint、Code Review、单元、API、E2E 五层测试，并指定对象、工具和责任人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从静态规则到用户关键路径逐层执行；AI 生成/运行用例，开发者和 QA 定义契约、严重度和签发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不同层测试互补；任何一层通过都不能替代其他层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22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操作浏览器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比较 Playwright MCP、Chrome DevTools MCP、Browser Use、Computer Use 的原理、抽象层、引擎、速度、Token、JS 页面和跨应用能力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 可读时用结构化工具；未知流程用 Browser Use；Canvas/WebGL/布局用视觉；跨应用才用 Computer Use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形成“优先结构化、按需视觉、按任务权衡速度与 Token”的选择规则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23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从测试用例生成 E2E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设计 Browser Use 探索→Playwright 固化→截图视觉兜底三段法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走一遍流程并提取 locator/action/assertion；生成 spec.ts 加入 CI；Accessibility Tree 覆盖不到时截图识别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把高成本智能探索转成低成本确定性回归，模型 Token 只用在不确定阶段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24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Playwright E2E 示例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用登录成功和 API 建会话展示真实测试结构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page.goto；按 placeholder/role 定位；填表和点击；断言 URL 与可见内容；需要稳定前置时通过 API 建状态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 E2E 必须有明确起点、动作、断言和稳定前置，不能只自动点击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25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E2E 超级 Loop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将需求规格、界面原型、测试用例、API 测试、单元实现、浏览器调试、E2E 纳入更大循环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在 Plan 后先写测试用例；实现和 API 测试循环；Playwright 调试真实页面；固化本轮需求场景；不满足准出就回流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Loop 从局部代码扩大到完整用户价值，形成端到端自治边界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26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as Code 章节页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 AI 工程文件管理设为独立能力域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测试闭环建立后，将规则、规格、工具和权限正式纳入仓库治理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临时有效的提示词不能算团队能力，只有可版本化资产才算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27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工程文件管理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AGENTS.md 引用 docs 和 .ai，再让 Cursor/OpenCode/Claude 等工具共享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AGENTS.md 做宪法和索引；docs 放事实；.ai 放 Skills/MCP；工具目录引用同一真源；避免复制漂移</w:t>
            </w:r>
          </w:p>
        </w:tc>
        <w:tc>
          <w:tcPr>
            <w:tcW w:type="dxa" w:w="2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实现“一个事实、多种 AI 工具入口”的 Agent as Code</w:t>
            </w:r>
          </w:p>
        </w:tc>
      </w:tr>
    </w:tbl>
    <w:p>
      <w:pPr>
        <w:spacing w:after="40"/>
      </w:pPr>
    </w:p>
    <w:p>
      <w:bookmarkStart w:id="168" w:name="AXH_68_74c41f2f"/>
      <w:pPr>
        <w:pStyle w:val="Heading2"/>
      </w:pPr>
      <w:r>
        <w:rPr>
          <w:rFonts w:ascii="Arial" w:hAnsi="Arial" w:eastAsia="宋体" w:cs="Arial"/>
          <w:b/>
          <w:i w:val="0"/>
        </w:rPr>
        <w:t>8.4 第 28—30 页：研究边界与最终判断</w:t>
      </w:r>
      <w:bookmarkEnd w:id="16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20"/>
        <w:gridCol w:w="1301"/>
        <w:gridCol w:w="2365"/>
        <w:gridCol w:w="2662"/>
        <w:gridCol w:w="2143"/>
      </w:tblGrid>
      <w:tr>
        <w:trPr>
          <w:tblHeader w:val="true"/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页面主题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这一页具体设计了什么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具体怎样执行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形成的结论或资产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28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附录与参考资料章节页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将研究来源与正文方法分开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正文只保留经过团队整理的方法，原始来源进入参考资料；重要判断能回到来源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方法论有来源边界，避免将外部观点伪装成项目事实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29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编程实践心得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给出三条最终经验：放弃开箱即用幻想；每个项目建自己的 Harness；少量取用、大量实践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外部框架先拆机制，再按项目约束选择；把有效做法写入规则、规格、脚本和测试；持续接受反馈迭代手册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团队最终选择项目内生 Harness，而不是依赖一套重型框架</w:t>
            </w:r>
          </w:p>
        </w:tc>
      </w:tr>
      <w:tr>
        <w:trPr>
          <w:cantSplit w:val="true"/>
        </w:trP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30</w:t>
            </w:r>
          </w:p>
        </w:tc>
        <w:tc>
          <w:tcPr>
            <w:tcW w:type="dxa" w:w="13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参考资料</w:t>
            </w:r>
          </w:p>
        </w:tc>
        <w:tc>
          <w:tcPr>
            <w:tcW w:type="dxa" w:w="2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汇集 OpenAI、Martin Fowler、Anthropic、GitHub 和 Computer Use 等研究入口</w:t>
            </w:r>
          </w:p>
        </w:tc>
        <w:tc>
          <w:tcPr>
            <w:tcW w:type="dxa" w:w="26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用这些来源校准 Harness、长任务、SDD、多 Agent 和 Computer Use；引用时区分原始论点、团队推导和项目证据</w:t>
            </w:r>
          </w:p>
        </w:tc>
        <w:tc>
          <w:tcPr>
            <w:tcW w:type="dxa" w:w="2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形成 v0.2 的研究来源清单，为后续版本继续验证和更新</w:t>
            </w:r>
          </w:p>
        </w:tc>
      </w:tr>
    </w:tbl>
    <w:p>
      <w:pPr>
        <w:spacing w:after="40"/>
      </w:pPr>
    </w:p>
    <w:p>
      <w:bookmarkStart w:id="169" w:name="AXH_69_d7e2b98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参考资料与采用边界</w:t>
      </w:r>
      <w:bookmarkEnd w:id="169"/>
    </w:p>
    <w:p>
      <w:bookmarkStart w:id="170" w:name="AXH_70_8c4607dd"/>
      <w:pPr>
        <w:pStyle w:val="Heading2"/>
      </w:pPr>
      <w:r>
        <w:rPr>
          <w:rFonts w:ascii="Arial" w:hAnsi="Arial" w:eastAsia="宋体" w:cs="Arial"/>
          <w:b/>
          <w:i w:val="0"/>
        </w:rPr>
        <w:t>9.1 手册列出的研究入口</w:t>
      </w:r>
      <w:bookmarkEnd w:id="17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以下链接按《团队级 AI Coding 简明手册 v0.2》第 30 页保留，作为该版本的方法论研究入口：</w:t>
      </w:r>
    </w:p>
    <w:p>
      <w:pPr>
        <w:spacing w:after="80" w:line="300" w:lineRule="auto"/>
        <w:numPr>
          <w:ilvl w:val="0"/>
          <w:numId w:val="38"/>
        </w:numPr>
      </w:pPr>
      <w:hyperlink r:id="rId26" w:history="1">
        <w:r>
          <w:rPr>
            <w:rFonts w:ascii="Microsoft YaHei" w:hAnsi="Microsoft YaHei" w:eastAsia="微软雅黑"/>
            <w:color w:val="0F756D"/>
            <w:u w:val="single"/>
          </w:rPr>
          <w:t>OpenAI：Harness engineering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Martin Fowler：Harness Engineering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28" w:history="1">
        <w:r>
          <w:rPr>
            <w:rFonts w:ascii="Microsoft YaHei" w:hAnsi="Microsoft YaHei" w:eastAsia="微软雅黑"/>
            <w:color w:val="0F756D"/>
            <w:u w:val="single"/>
          </w:rPr>
          <w:t>Anthropic：Harness design for long-running apps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29" w:history="1">
        <w:r>
          <w:rPr>
            <w:rFonts w:ascii="Microsoft YaHei" w:hAnsi="Microsoft YaHei" w:eastAsia="微软雅黑"/>
            <w:color w:val="0F756D"/>
            <w:u w:val="single"/>
          </w:rPr>
          <w:t>从 Rule、Spec 到 Harness：AI Coding 的渐进式建设路径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0" w:history="1">
        <w:r>
          <w:rPr>
            <w:rFonts w:ascii="Microsoft YaHei" w:hAnsi="Microsoft YaHei" w:eastAsia="微软雅黑"/>
            <w:color w:val="0F756D"/>
            <w:u w:val="single"/>
          </w:rPr>
          <w:t>让 AI 乖乖听话的几个 Rules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1" w:history="1">
        <w:r>
          <w:rPr>
            <w:rFonts w:ascii="Microsoft YaHei" w:hAnsi="Microsoft YaHei" w:eastAsia="微软雅黑"/>
            <w:color w:val="0F756D"/>
            <w:u w:val="single"/>
          </w:rPr>
          <w:t>Martin Fowler：Understanding Spec-Driven Development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2" w:history="1">
        <w:r>
          <w:rPr>
            <w:rFonts w:ascii="Microsoft YaHei" w:hAnsi="Microsoft YaHei" w:eastAsia="微软雅黑"/>
            <w:color w:val="0F756D"/>
            <w:u w:val="single"/>
          </w:rPr>
          <w:t>harness-engineering-in-ai-coding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3" w:history="1">
        <w:r>
          <w:rPr>
            <w:rFonts w:ascii="Microsoft YaHei" w:hAnsi="Microsoft YaHei" w:eastAsia="微软雅黑"/>
            <w:color w:val="0F756D"/>
            <w:u w:val="single"/>
          </w:rPr>
          <w:t>Attractor Guided Engineering Template</w:t>
        </w:r>
      </w:hyperlink>
    </w:p>
    <w:p>
      <w:pPr>
        <w:spacing w:after="80" w:line="300" w:lineRule="auto"/>
        <w:numPr>
          <w:ilvl w:val="0"/>
          <w:numId w:val="38"/>
        </w:numPr>
      </w:pPr>
      <w:hyperlink r:id="rId34" w:history="1">
        <w:r>
          <w:rPr>
            <w:rFonts w:ascii="Microsoft YaHei" w:hAnsi="Microsoft YaHei" w:eastAsia="微软雅黑"/>
            <w:color w:val="0F756D"/>
            <w:u w:val="single"/>
          </w:rPr>
          <w:t>OpenAI：Computer use guide</w:t>
        </w:r>
      </w:hyperlink>
    </w:p>
    <w:p>
      <w:bookmarkStart w:id="171" w:name="AXH_71_68b8063e"/>
      <w:pPr>
        <w:pStyle w:val="Heading2"/>
      </w:pPr>
      <w:r>
        <w:rPr>
          <w:rFonts w:ascii="Arial" w:hAnsi="Arial" w:eastAsia="宋体" w:cs="Arial"/>
          <w:b/>
          <w:i w:val="0"/>
        </w:rPr>
        <w:t>9.2 采用边界</w:t>
      </w:r>
      <w:bookmarkEnd w:id="17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本文件严格区分三类结论：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手册研究结论：</w:t>
      </w:r>
      <w:r>
        <w:rPr>
          <w:rFonts w:ascii="Arial" w:hAnsi="Arial" w:eastAsia="宋体" w:cs="Arial"/>
          <w:b w:val="0"/>
          <w:i w:val="0"/>
        </w:rPr>
        <w:t xml:space="preserve"> 五阶段演进、四个问题域、工具比较、SDD 比较、双层 Loop、Agent as Code 等；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团队方法论：</w:t>
      </w:r>
      <w:r>
        <w:rPr>
          <w:rFonts w:ascii="Arial" w:hAnsi="Arial" w:eastAsia="宋体" w:cs="Arial"/>
          <w:b w:val="0"/>
          <w:i w:val="0"/>
        </w:rPr>
        <w:t xml:space="preserve"> 团队从研究中提炼的项目内生 Harness、规格编译链、探索—固化—视觉兜底和七条实践原则；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/>
          <w:i w:val="0"/>
        </w:rPr>
        <w:t>AXIOM 项目事实：</w:t>
      </w:r>
      <w:r>
        <w:rPr>
          <w:rFonts w:ascii="Arial" w:hAnsi="Arial" w:eastAsia="宋体" w:cs="Arial"/>
          <w:b w:val="0"/>
          <w:i w:val="0"/>
        </w:rPr>
        <w:t xml:space="preserve"> 仓库中真实存在的规则、文档、配置、脚本、测试和模型接入。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外部工具对比不自动等于 AXIOM 已安装全部工具；项目已有代码也不自动证明所有测试在任意环境通过。具体版本、执行命令、通过数、失败数和环境前置条件统一由《04-测试说明书与测试报告》签发。</w:t>
      </w:r>
    </w:p>
    <w:p>
      <w:bookmarkStart w:id="172" w:name="AXH_72_fd4a21f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结语</w:t>
      </w:r>
      <w:bookmarkEnd w:id="17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《团队级 AI Coding 简明手册 v0.2》最终解决的不是“怎样提示 AI 写一段更好的代码”，而是“怎样建立一个团队可以持续使用、可以检查、可以迭代、可以承担责任的 AI 工程系统”。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将其落成一条明确工作法：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需求先成为规格，规格再成为测试；AI 在项目 Harness 中执行，失败回到 Loop，证据决定准出，团队决定交付。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09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[09] 团队级 AI Coding 方法论 与 AI 辅助开发流程说明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9"/>
  </w:num>
  <w:num w:numId="12">
    <w:abstractNumId w:val="10"/>
  </w:num>
  <w:num w:numId="13">
    <w:abstractNumId w:val="9"/>
  </w:num>
  <w:num w:numId="14">
    <w:abstractNumId w:val="10"/>
  </w:num>
  <w:num w:numId="15">
    <w:abstractNumId w:val="9"/>
  </w:num>
  <w:num w:numId="16">
    <w:abstractNumId w:val="10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10"/>
  </w:num>
  <w:num w:numId="23">
    <w:abstractNumId w:val="10"/>
  </w:num>
  <w:num w:numId="24">
    <w:abstractNumId w:val="10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10"/>
  </w:num>
  <w:num w:numId="30">
    <w:abstractNumId w:val="9"/>
  </w:num>
  <w:num w:numId="31">
    <w:abstractNumId w:val="10"/>
  </w:num>
  <w:num w:numId="32">
    <w:abstractNumId w:val="10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10"/>
  </w:num>
  <w:num w:numId="38">
    <w:abstractNumId w:val="9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3-&#31995;&#32479;&#35774;&#35745;&#19982;&#24320;&#21457;&#35828;&#26126;&#20070;.docx" TargetMode="External"/><Relationship Id="rId15" Type="http://schemas.openxmlformats.org/officeDocument/2006/relationships/hyperlink" Target="04-&#27979;&#35797;&#35828;&#26126;&#20070;&#19982;&#27979;&#35797;&#25253;&#21578;.docx" TargetMode="External"/><Relationship Id="rId16" Type="http://schemas.openxmlformats.org/officeDocument/2006/relationships/hyperlink" Target="08-&#24320;&#28304;&#32452;&#20214;&#20351;&#29992;&#19982;&#21512;&#35268;&#35828;&#26126;.docx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getdesign.md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github.com/domain-driven-design/ddd-microservices" TargetMode="External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hyperlink" Target="https://openai.com/index/harness-engineering/" TargetMode="External"/><Relationship Id="rId27" Type="http://schemas.openxmlformats.org/officeDocument/2006/relationships/hyperlink" Target="https://martinfowler.com/articles/harness-engineering.html" TargetMode="External"/><Relationship Id="rId28" Type="http://schemas.openxmlformats.org/officeDocument/2006/relationships/hyperlink" Target="https://www.anthropic.com/engineering/harness-design-long-running-apps" TargetMode="External"/><Relationship Id="rId29" Type="http://schemas.openxmlformats.org/officeDocument/2006/relationships/hyperlink" Target="https://mp.weixin.qq.com/s/UCh2bPzMZjNBMBCCJysuNw" TargetMode="External"/><Relationship Id="rId30" Type="http://schemas.openxmlformats.org/officeDocument/2006/relationships/hyperlink" Target="https://mp.weixin.qq.com/s/FXNzk_y2Z2h8BVe62uEn_A" TargetMode="External"/><Relationship Id="rId31" Type="http://schemas.openxmlformats.org/officeDocument/2006/relationships/hyperlink" Target="https://martinfowler.com/articles/exploring-gen-ai/sdd-3-tools.html" TargetMode="External"/><Relationship Id="rId32" Type="http://schemas.openxmlformats.org/officeDocument/2006/relationships/hyperlink" Target="https://github.com/2361485765/harness-engineering-in-ai-coding" TargetMode="External"/><Relationship Id="rId33" Type="http://schemas.openxmlformats.org/officeDocument/2006/relationships/hyperlink" Target="https://github.com/entropy-cloud/attractor-guided-engineering-template" TargetMode="External"/><Relationship Id="rId34" Type="http://schemas.openxmlformats.org/officeDocument/2006/relationships/hyperlink" Target="https://developers.openai.com/api/docs/guides/tools-computer-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团队级 AI Coding 方法论 与 AI 辅助开发流程说明</dc:title>
  <dc:subject>2026 年软件杯 · A3 组</dc:subject>
  <dc:creator/>
  <cp:keywords>AXIOM Space, 软件杯, A3, 给春稗以秋实, 09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