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045" w:type="dxa"/>
        <w:tblLook w:val="04A0" w:firstRow="1" w:lastRow="0" w:firstColumn="1" w:lastColumn="0" w:noHBand="0" w:noVBand="1"/>
      </w:tblPr>
      <w:tblGrid>
        <w:gridCol w:w="1345"/>
        <w:gridCol w:w="3060"/>
        <w:gridCol w:w="1890"/>
        <w:gridCol w:w="3960"/>
        <w:gridCol w:w="2790"/>
      </w:tblGrid>
      <w:tr w:rsidR="00902C2D" w:rsidRPr="004008B7" w14:paraId="6B9C8D83" w14:textId="77777777" w:rsidTr="00FE323E">
        <w:tc>
          <w:tcPr>
            <w:tcW w:w="13045" w:type="dxa"/>
            <w:gridSpan w:val="5"/>
          </w:tcPr>
          <w:p w14:paraId="1BAD8A3A" w14:textId="393AC561" w:rsidR="00902C2D" w:rsidRPr="00902C2D" w:rsidRDefault="00902C2D" w:rsidP="00902C2D">
            <w:pPr>
              <w:jc w:val="center"/>
              <w:rPr>
                <w:rFonts w:cstheme="minorHAnsi"/>
                <w:b/>
                <w:bCs/>
                <w:sz w:val="20"/>
                <w:szCs w:val="20"/>
              </w:rPr>
            </w:pPr>
            <w:r w:rsidRPr="00902C2D">
              <w:rPr>
                <w:rFonts w:cstheme="minorHAnsi"/>
                <w:b/>
                <w:bCs/>
                <w:sz w:val="20"/>
                <w:szCs w:val="20"/>
              </w:rPr>
              <w:t>TLRC Annual Planning</w:t>
            </w:r>
          </w:p>
        </w:tc>
      </w:tr>
      <w:tr w:rsidR="004008B7" w:rsidRPr="004008B7" w14:paraId="12A0E1DB" w14:textId="77777777" w:rsidTr="004008B7">
        <w:tc>
          <w:tcPr>
            <w:tcW w:w="1345" w:type="dxa"/>
          </w:tcPr>
          <w:p w14:paraId="6FEDCE80" w14:textId="77777777" w:rsidR="00EF78D6" w:rsidRPr="004008B7" w:rsidRDefault="00EF78D6" w:rsidP="00F573F5">
            <w:pPr>
              <w:rPr>
                <w:rFonts w:cstheme="minorHAnsi"/>
                <w:sz w:val="20"/>
                <w:szCs w:val="20"/>
              </w:rPr>
            </w:pPr>
            <w:r w:rsidRPr="004008B7">
              <w:rPr>
                <w:rFonts w:cstheme="minorHAnsi"/>
                <w:sz w:val="20"/>
                <w:szCs w:val="20"/>
              </w:rPr>
              <w:t>Target Date</w:t>
            </w:r>
          </w:p>
        </w:tc>
        <w:tc>
          <w:tcPr>
            <w:tcW w:w="3060" w:type="dxa"/>
          </w:tcPr>
          <w:p w14:paraId="111804B5" w14:textId="77777777" w:rsidR="00EF78D6" w:rsidRPr="004008B7" w:rsidRDefault="00EF78D6" w:rsidP="00F573F5">
            <w:pPr>
              <w:rPr>
                <w:rFonts w:cstheme="minorHAnsi"/>
                <w:sz w:val="20"/>
                <w:szCs w:val="20"/>
              </w:rPr>
            </w:pPr>
            <w:r w:rsidRPr="004008B7">
              <w:rPr>
                <w:rFonts w:cstheme="minorHAnsi"/>
                <w:sz w:val="20"/>
                <w:szCs w:val="20"/>
              </w:rPr>
              <w:t>Task</w:t>
            </w:r>
          </w:p>
        </w:tc>
        <w:tc>
          <w:tcPr>
            <w:tcW w:w="1890" w:type="dxa"/>
          </w:tcPr>
          <w:p w14:paraId="61793F23" w14:textId="77777777" w:rsidR="00EF78D6" w:rsidRPr="004008B7" w:rsidRDefault="004008B7" w:rsidP="00F573F5">
            <w:pPr>
              <w:rPr>
                <w:rFonts w:cstheme="minorHAnsi"/>
                <w:sz w:val="20"/>
                <w:szCs w:val="20"/>
              </w:rPr>
            </w:pPr>
            <w:r w:rsidRPr="004008B7">
              <w:rPr>
                <w:rFonts w:cstheme="minorHAnsi"/>
                <w:sz w:val="20"/>
                <w:szCs w:val="20"/>
              </w:rPr>
              <w:t>Who</w:t>
            </w:r>
          </w:p>
        </w:tc>
        <w:tc>
          <w:tcPr>
            <w:tcW w:w="3960" w:type="dxa"/>
          </w:tcPr>
          <w:p w14:paraId="03780214" w14:textId="77777777" w:rsidR="00EF78D6" w:rsidRPr="004008B7" w:rsidRDefault="004008B7" w:rsidP="00F573F5">
            <w:pPr>
              <w:rPr>
                <w:rFonts w:cstheme="minorHAnsi"/>
                <w:sz w:val="20"/>
                <w:szCs w:val="20"/>
              </w:rPr>
            </w:pPr>
            <w:r w:rsidRPr="004008B7">
              <w:rPr>
                <w:rFonts w:cstheme="minorHAnsi"/>
                <w:sz w:val="20"/>
                <w:szCs w:val="20"/>
              </w:rPr>
              <w:t>Notes</w:t>
            </w:r>
          </w:p>
        </w:tc>
        <w:tc>
          <w:tcPr>
            <w:tcW w:w="2790" w:type="dxa"/>
          </w:tcPr>
          <w:p w14:paraId="2DF45D02" w14:textId="77777777" w:rsidR="00EF78D6" w:rsidRPr="004008B7" w:rsidRDefault="00EF78D6" w:rsidP="00F573F5">
            <w:pPr>
              <w:rPr>
                <w:rFonts w:cstheme="minorHAnsi"/>
                <w:sz w:val="20"/>
                <w:szCs w:val="20"/>
              </w:rPr>
            </w:pPr>
          </w:p>
        </w:tc>
      </w:tr>
      <w:tr w:rsidR="004008B7" w:rsidRPr="004008B7" w14:paraId="73CD3B79" w14:textId="77777777" w:rsidTr="004008B7">
        <w:tc>
          <w:tcPr>
            <w:tcW w:w="1345" w:type="dxa"/>
          </w:tcPr>
          <w:p w14:paraId="41055704" w14:textId="77777777" w:rsidR="004008B7" w:rsidRPr="004008B7" w:rsidRDefault="004008B7" w:rsidP="00F573F5">
            <w:pPr>
              <w:rPr>
                <w:rFonts w:cstheme="minorHAnsi"/>
                <w:sz w:val="20"/>
                <w:szCs w:val="20"/>
              </w:rPr>
            </w:pPr>
            <w:r w:rsidRPr="004008B7">
              <w:rPr>
                <w:rFonts w:cstheme="minorHAnsi"/>
                <w:sz w:val="20"/>
                <w:szCs w:val="20"/>
              </w:rPr>
              <w:t>April</w:t>
            </w:r>
          </w:p>
        </w:tc>
        <w:tc>
          <w:tcPr>
            <w:tcW w:w="3060" w:type="dxa"/>
          </w:tcPr>
          <w:p w14:paraId="04E800BC" w14:textId="77777777" w:rsidR="004008B7" w:rsidRPr="004008B7" w:rsidRDefault="004008B7" w:rsidP="00F573F5">
            <w:pPr>
              <w:rPr>
                <w:rFonts w:cstheme="minorHAnsi"/>
                <w:sz w:val="20"/>
                <w:szCs w:val="20"/>
              </w:rPr>
            </w:pPr>
            <w:r w:rsidRPr="004008B7">
              <w:rPr>
                <w:rFonts w:cstheme="minorHAnsi"/>
                <w:sz w:val="20"/>
                <w:szCs w:val="20"/>
              </w:rPr>
              <w:t>Contact Mike Kinane about having some OW logo pens/folder set aside for TLRC events next year.</w:t>
            </w:r>
          </w:p>
        </w:tc>
        <w:tc>
          <w:tcPr>
            <w:tcW w:w="1890" w:type="dxa"/>
          </w:tcPr>
          <w:p w14:paraId="5370DC53" w14:textId="77777777" w:rsidR="004008B7" w:rsidRPr="004008B7" w:rsidRDefault="004008B7" w:rsidP="00F573F5">
            <w:pPr>
              <w:rPr>
                <w:rFonts w:cstheme="minorHAnsi"/>
                <w:sz w:val="20"/>
                <w:szCs w:val="20"/>
              </w:rPr>
            </w:pPr>
          </w:p>
        </w:tc>
        <w:tc>
          <w:tcPr>
            <w:tcW w:w="3960" w:type="dxa"/>
          </w:tcPr>
          <w:p w14:paraId="2BC1468D" w14:textId="77777777" w:rsidR="004008B7" w:rsidRPr="004008B7" w:rsidRDefault="004008B7" w:rsidP="00F573F5">
            <w:pPr>
              <w:rPr>
                <w:rFonts w:cstheme="minorHAnsi"/>
                <w:sz w:val="20"/>
                <w:szCs w:val="20"/>
              </w:rPr>
            </w:pPr>
            <w:r w:rsidRPr="004008B7">
              <w:rPr>
                <w:rFonts w:cstheme="minorHAnsi"/>
                <w:sz w:val="20"/>
                <w:szCs w:val="20"/>
              </w:rPr>
              <w:t>Contact before End of Year Ordering Close Date</w:t>
            </w:r>
          </w:p>
          <w:p w14:paraId="30BC665E" w14:textId="77777777" w:rsidR="004008B7" w:rsidRPr="004008B7" w:rsidRDefault="004008B7" w:rsidP="00F573F5">
            <w:pPr>
              <w:rPr>
                <w:rFonts w:cstheme="minorHAnsi"/>
                <w:sz w:val="20"/>
                <w:szCs w:val="20"/>
              </w:rPr>
            </w:pPr>
          </w:p>
          <w:p w14:paraId="46AFE124" w14:textId="77777777" w:rsidR="004008B7" w:rsidRPr="004008B7" w:rsidRDefault="004008B7" w:rsidP="00F573F5">
            <w:pPr>
              <w:rPr>
                <w:rFonts w:cstheme="minorHAnsi"/>
                <w:sz w:val="20"/>
                <w:szCs w:val="20"/>
              </w:rPr>
            </w:pPr>
            <w:r w:rsidRPr="004008B7">
              <w:rPr>
                <w:rFonts w:cstheme="minorHAnsi"/>
                <w:sz w:val="20"/>
                <w:szCs w:val="20"/>
              </w:rPr>
              <w:t xml:space="preserve">We requested about 350 pens and about 100 folders for this year. </w:t>
            </w:r>
          </w:p>
          <w:p w14:paraId="645CF65F" w14:textId="77777777" w:rsidR="004008B7" w:rsidRPr="004008B7" w:rsidRDefault="004008B7" w:rsidP="00F573F5">
            <w:pPr>
              <w:rPr>
                <w:rFonts w:cstheme="minorHAnsi"/>
                <w:sz w:val="20"/>
                <w:szCs w:val="20"/>
              </w:rPr>
            </w:pPr>
          </w:p>
        </w:tc>
        <w:tc>
          <w:tcPr>
            <w:tcW w:w="2790" w:type="dxa"/>
          </w:tcPr>
          <w:p w14:paraId="5D64819D" w14:textId="77777777" w:rsidR="004008B7" w:rsidRPr="004008B7" w:rsidRDefault="004008B7" w:rsidP="00F573F5">
            <w:pPr>
              <w:rPr>
                <w:rFonts w:cstheme="minorHAnsi"/>
                <w:sz w:val="20"/>
                <w:szCs w:val="20"/>
              </w:rPr>
            </w:pPr>
          </w:p>
        </w:tc>
      </w:tr>
      <w:tr w:rsidR="004008B7" w:rsidRPr="004008B7" w14:paraId="0D2DBCEB" w14:textId="77777777" w:rsidTr="004008B7">
        <w:tc>
          <w:tcPr>
            <w:tcW w:w="1345" w:type="dxa"/>
            <w:vMerge w:val="restart"/>
          </w:tcPr>
          <w:p w14:paraId="236F9030" w14:textId="18516FE9" w:rsidR="004008B7" w:rsidRPr="004008B7" w:rsidRDefault="004008B7" w:rsidP="004008B7">
            <w:pPr>
              <w:rPr>
                <w:rFonts w:cstheme="minorHAnsi"/>
                <w:sz w:val="20"/>
                <w:szCs w:val="20"/>
              </w:rPr>
            </w:pPr>
            <w:r w:rsidRPr="004008B7">
              <w:rPr>
                <w:rFonts w:cstheme="minorHAnsi"/>
                <w:sz w:val="20"/>
                <w:szCs w:val="20"/>
              </w:rPr>
              <w:t>May</w:t>
            </w:r>
            <w:r w:rsidR="00B55C83">
              <w:rPr>
                <w:rFonts w:cstheme="minorHAnsi"/>
                <w:sz w:val="20"/>
                <w:szCs w:val="20"/>
              </w:rPr>
              <w:t xml:space="preserve">-June </w:t>
            </w:r>
          </w:p>
        </w:tc>
        <w:tc>
          <w:tcPr>
            <w:tcW w:w="3060" w:type="dxa"/>
          </w:tcPr>
          <w:p w14:paraId="09FB4567" w14:textId="77777777" w:rsidR="004008B7" w:rsidRPr="004008B7" w:rsidRDefault="004008B7" w:rsidP="004008B7">
            <w:pPr>
              <w:rPr>
                <w:rFonts w:cstheme="minorHAnsi"/>
                <w:sz w:val="20"/>
                <w:szCs w:val="20"/>
              </w:rPr>
            </w:pPr>
            <w:r w:rsidRPr="004008B7">
              <w:rPr>
                <w:rFonts w:cstheme="minorHAnsi"/>
                <w:sz w:val="20"/>
                <w:szCs w:val="20"/>
              </w:rPr>
              <w:t>Elect Next Year’s Committee Chair</w:t>
            </w:r>
          </w:p>
        </w:tc>
        <w:tc>
          <w:tcPr>
            <w:tcW w:w="1890" w:type="dxa"/>
          </w:tcPr>
          <w:p w14:paraId="07A22A3B" w14:textId="77777777" w:rsidR="004008B7" w:rsidRPr="004008B7" w:rsidRDefault="004008B7" w:rsidP="004008B7">
            <w:pPr>
              <w:rPr>
                <w:rFonts w:cstheme="minorHAnsi"/>
                <w:sz w:val="20"/>
                <w:szCs w:val="20"/>
              </w:rPr>
            </w:pPr>
          </w:p>
        </w:tc>
        <w:tc>
          <w:tcPr>
            <w:tcW w:w="3960" w:type="dxa"/>
          </w:tcPr>
          <w:p w14:paraId="733ADA8B" w14:textId="77777777" w:rsidR="004008B7" w:rsidRPr="004008B7" w:rsidRDefault="004008B7" w:rsidP="004008B7">
            <w:pPr>
              <w:rPr>
                <w:rFonts w:cstheme="minorHAnsi"/>
                <w:sz w:val="20"/>
                <w:szCs w:val="20"/>
              </w:rPr>
            </w:pPr>
          </w:p>
        </w:tc>
        <w:tc>
          <w:tcPr>
            <w:tcW w:w="2790" w:type="dxa"/>
          </w:tcPr>
          <w:p w14:paraId="33DF00C8" w14:textId="77777777" w:rsidR="004008B7" w:rsidRPr="004008B7" w:rsidRDefault="004008B7" w:rsidP="004008B7">
            <w:pPr>
              <w:rPr>
                <w:rFonts w:cstheme="minorHAnsi"/>
                <w:sz w:val="20"/>
                <w:szCs w:val="20"/>
              </w:rPr>
            </w:pPr>
          </w:p>
        </w:tc>
      </w:tr>
      <w:tr w:rsidR="004008B7" w:rsidRPr="004008B7" w14:paraId="48F69A2A" w14:textId="77777777" w:rsidTr="004008B7">
        <w:tc>
          <w:tcPr>
            <w:tcW w:w="1345" w:type="dxa"/>
            <w:vMerge/>
          </w:tcPr>
          <w:p w14:paraId="2EB5490E" w14:textId="77777777" w:rsidR="004008B7" w:rsidRPr="004008B7" w:rsidRDefault="004008B7" w:rsidP="004008B7">
            <w:pPr>
              <w:rPr>
                <w:rFonts w:cstheme="minorHAnsi"/>
                <w:sz w:val="20"/>
                <w:szCs w:val="20"/>
              </w:rPr>
            </w:pPr>
          </w:p>
        </w:tc>
        <w:tc>
          <w:tcPr>
            <w:tcW w:w="3060" w:type="dxa"/>
          </w:tcPr>
          <w:p w14:paraId="7BC07513" w14:textId="77777777" w:rsidR="004008B7" w:rsidRPr="004008B7" w:rsidRDefault="004008B7" w:rsidP="004008B7">
            <w:pPr>
              <w:rPr>
                <w:rFonts w:cstheme="minorHAnsi"/>
                <w:sz w:val="20"/>
                <w:szCs w:val="20"/>
              </w:rPr>
            </w:pPr>
            <w:r w:rsidRPr="004008B7">
              <w:rPr>
                <w:rFonts w:cstheme="minorHAnsi"/>
                <w:sz w:val="20"/>
                <w:szCs w:val="20"/>
              </w:rPr>
              <w:t>Begin Planning NFO</w:t>
            </w:r>
          </w:p>
        </w:tc>
        <w:tc>
          <w:tcPr>
            <w:tcW w:w="1890" w:type="dxa"/>
          </w:tcPr>
          <w:p w14:paraId="215855B0" w14:textId="77777777" w:rsidR="004008B7" w:rsidRPr="004008B7" w:rsidRDefault="004008B7" w:rsidP="004008B7">
            <w:pPr>
              <w:rPr>
                <w:rFonts w:cstheme="minorHAnsi"/>
                <w:sz w:val="20"/>
                <w:szCs w:val="20"/>
              </w:rPr>
            </w:pPr>
          </w:p>
        </w:tc>
        <w:tc>
          <w:tcPr>
            <w:tcW w:w="3960" w:type="dxa"/>
          </w:tcPr>
          <w:p w14:paraId="54DBF71C" w14:textId="77777777" w:rsidR="004008B7" w:rsidRPr="004008B7" w:rsidRDefault="004008B7" w:rsidP="004008B7">
            <w:pPr>
              <w:rPr>
                <w:rFonts w:cstheme="minorHAnsi"/>
                <w:sz w:val="20"/>
                <w:szCs w:val="20"/>
              </w:rPr>
            </w:pPr>
          </w:p>
        </w:tc>
        <w:tc>
          <w:tcPr>
            <w:tcW w:w="2790" w:type="dxa"/>
          </w:tcPr>
          <w:p w14:paraId="15A3D387" w14:textId="77777777" w:rsidR="004008B7" w:rsidRPr="004008B7" w:rsidRDefault="004008B7" w:rsidP="004008B7">
            <w:pPr>
              <w:rPr>
                <w:rFonts w:cstheme="minorHAnsi"/>
                <w:sz w:val="20"/>
                <w:szCs w:val="20"/>
              </w:rPr>
            </w:pPr>
            <w:r w:rsidRPr="004008B7">
              <w:rPr>
                <w:rFonts w:cstheme="minorHAnsi"/>
                <w:sz w:val="20"/>
                <w:szCs w:val="20"/>
              </w:rPr>
              <w:t>See NFO Planning Sheet</w:t>
            </w:r>
          </w:p>
        </w:tc>
      </w:tr>
      <w:tr w:rsidR="004008B7" w:rsidRPr="004008B7" w14:paraId="5C068C67" w14:textId="77777777" w:rsidTr="004008B7">
        <w:tc>
          <w:tcPr>
            <w:tcW w:w="1345" w:type="dxa"/>
            <w:vMerge/>
          </w:tcPr>
          <w:p w14:paraId="378518F9" w14:textId="77777777" w:rsidR="004008B7" w:rsidRPr="004008B7" w:rsidRDefault="004008B7" w:rsidP="004008B7">
            <w:pPr>
              <w:rPr>
                <w:rFonts w:cstheme="minorHAnsi"/>
                <w:sz w:val="20"/>
                <w:szCs w:val="20"/>
              </w:rPr>
            </w:pPr>
          </w:p>
        </w:tc>
        <w:tc>
          <w:tcPr>
            <w:tcW w:w="3060" w:type="dxa"/>
          </w:tcPr>
          <w:p w14:paraId="081BC886" w14:textId="77777777" w:rsidR="004008B7" w:rsidRPr="004008B7" w:rsidRDefault="004008B7" w:rsidP="004008B7">
            <w:pPr>
              <w:rPr>
                <w:rFonts w:cstheme="minorHAnsi"/>
                <w:sz w:val="20"/>
                <w:szCs w:val="20"/>
              </w:rPr>
            </w:pPr>
            <w:r w:rsidRPr="004008B7">
              <w:rPr>
                <w:rFonts w:cstheme="minorHAnsi"/>
                <w:sz w:val="20"/>
                <w:szCs w:val="20"/>
              </w:rPr>
              <w:t>Write TLRC Annual Report for submission to FS EC</w:t>
            </w:r>
            <w:bookmarkStart w:id="0" w:name="_GoBack"/>
            <w:bookmarkEnd w:id="0"/>
          </w:p>
        </w:tc>
        <w:tc>
          <w:tcPr>
            <w:tcW w:w="1890" w:type="dxa"/>
          </w:tcPr>
          <w:p w14:paraId="2CE87BC5" w14:textId="77777777" w:rsidR="004008B7" w:rsidRPr="004008B7" w:rsidRDefault="004008B7" w:rsidP="004008B7">
            <w:pPr>
              <w:rPr>
                <w:rFonts w:cstheme="minorHAnsi"/>
                <w:sz w:val="20"/>
                <w:szCs w:val="20"/>
              </w:rPr>
            </w:pPr>
          </w:p>
        </w:tc>
        <w:tc>
          <w:tcPr>
            <w:tcW w:w="3960" w:type="dxa"/>
          </w:tcPr>
          <w:p w14:paraId="6DE10C28" w14:textId="77777777" w:rsidR="004008B7" w:rsidRPr="004008B7" w:rsidRDefault="004008B7" w:rsidP="004008B7">
            <w:pPr>
              <w:rPr>
                <w:rFonts w:cstheme="minorHAnsi"/>
                <w:sz w:val="20"/>
                <w:szCs w:val="20"/>
              </w:rPr>
            </w:pPr>
            <w:r w:rsidRPr="004008B7">
              <w:rPr>
                <w:rFonts w:cstheme="minorHAnsi"/>
                <w:sz w:val="20"/>
                <w:szCs w:val="20"/>
              </w:rPr>
              <w:t xml:space="preserve">Will be shared with FS in fall, so deadline is not firm.  </w:t>
            </w:r>
          </w:p>
          <w:p w14:paraId="6D9C4155" w14:textId="77777777" w:rsidR="004008B7" w:rsidRPr="004008B7" w:rsidRDefault="004008B7" w:rsidP="004008B7">
            <w:pPr>
              <w:rPr>
                <w:rFonts w:cstheme="minorHAnsi"/>
                <w:sz w:val="20"/>
                <w:szCs w:val="20"/>
              </w:rPr>
            </w:pPr>
          </w:p>
          <w:p w14:paraId="1E833BD0" w14:textId="77777777" w:rsidR="004008B7" w:rsidRPr="004008B7" w:rsidRDefault="004008B7" w:rsidP="004008B7">
            <w:pPr>
              <w:rPr>
                <w:rFonts w:cstheme="minorHAnsi"/>
                <w:sz w:val="20"/>
                <w:szCs w:val="20"/>
              </w:rPr>
            </w:pPr>
            <w:r w:rsidRPr="004008B7">
              <w:rPr>
                <w:rFonts w:cstheme="minorHAnsi"/>
                <w:sz w:val="20"/>
                <w:szCs w:val="20"/>
              </w:rPr>
              <w:t>Limit to about 2 single spaced pages.</w:t>
            </w:r>
          </w:p>
        </w:tc>
        <w:tc>
          <w:tcPr>
            <w:tcW w:w="2790" w:type="dxa"/>
          </w:tcPr>
          <w:p w14:paraId="2B9A5DA0" w14:textId="77777777" w:rsidR="004008B7" w:rsidRPr="004008B7" w:rsidRDefault="004008B7" w:rsidP="004008B7">
            <w:pPr>
              <w:rPr>
                <w:rFonts w:cstheme="minorHAnsi"/>
                <w:sz w:val="20"/>
                <w:szCs w:val="20"/>
              </w:rPr>
            </w:pPr>
            <w:r w:rsidRPr="004008B7">
              <w:rPr>
                <w:rFonts w:cstheme="minorHAnsi"/>
                <w:sz w:val="20"/>
                <w:szCs w:val="20"/>
              </w:rPr>
              <w:t>Last year’s annual report</w:t>
            </w:r>
          </w:p>
        </w:tc>
      </w:tr>
      <w:tr w:rsidR="004008B7" w:rsidRPr="004008B7" w14:paraId="5F4B587E" w14:textId="77777777" w:rsidTr="004008B7">
        <w:tc>
          <w:tcPr>
            <w:tcW w:w="1345" w:type="dxa"/>
          </w:tcPr>
          <w:p w14:paraId="02453DFD" w14:textId="77777777" w:rsidR="004008B7" w:rsidRPr="004008B7" w:rsidRDefault="004008B7" w:rsidP="004008B7">
            <w:pPr>
              <w:rPr>
                <w:rFonts w:cstheme="minorHAnsi"/>
                <w:sz w:val="20"/>
                <w:szCs w:val="20"/>
              </w:rPr>
            </w:pPr>
            <w:r w:rsidRPr="004008B7">
              <w:rPr>
                <w:rFonts w:cstheme="minorHAnsi"/>
                <w:sz w:val="20"/>
                <w:szCs w:val="20"/>
              </w:rPr>
              <w:t>August</w:t>
            </w:r>
          </w:p>
        </w:tc>
        <w:tc>
          <w:tcPr>
            <w:tcW w:w="3060" w:type="dxa"/>
          </w:tcPr>
          <w:p w14:paraId="3567BBF9" w14:textId="77777777" w:rsidR="004008B7" w:rsidRPr="004008B7" w:rsidRDefault="004008B7" w:rsidP="004008B7">
            <w:pPr>
              <w:rPr>
                <w:rFonts w:cstheme="minorHAnsi"/>
                <w:sz w:val="20"/>
                <w:szCs w:val="20"/>
              </w:rPr>
            </w:pPr>
            <w:r w:rsidRPr="004008B7">
              <w:rPr>
                <w:rFonts w:cstheme="minorHAnsi"/>
                <w:sz w:val="20"/>
                <w:szCs w:val="20"/>
              </w:rPr>
              <w:t>Request meeting with Patrick to discuss annual budget.</w:t>
            </w:r>
          </w:p>
        </w:tc>
        <w:tc>
          <w:tcPr>
            <w:tcW w:w="1890" w:type="dxa"/>
          </w:tcPr>
          <w:p w14:paraId="67A3079D" w14:textId="77777777" w:rsidR="004008B7" w:rsidRPr="004008B7" w:rsidRDefault="004008B7" w:rsidP="004008B7">
            <w:pPr>
              <w:rPr>
                <w:rFonts w:cstheme="minorHAnsi"/>
                <w:sz w:val="20"/>
                <w:szCs w:val="20"/>
              </w:rPr>
            </w:pPr>
          </w:p>
        </w:tc>
        <w:tc>
          <w:tcPr>
            <w:tcW w:w="3960" w:type="dxa"/>
          </w:tcPr>
          <w:p w14:paraId="7467FFCD" w14:textId="77777777" w:rsidR="004008B7" w:rsidRPr="004008B7" w:rsidRDefault="004008B7" w:rsidP="004008B7">
            <w:pPr>
              <w:rPr>
                <w:rFonts w:cstheme="minorHAnsi"/>
                <w:sz w:val="20"/>
                <w:szCs w:val="20"/>
              </w:rPr>
            </w:pPr>
            <w:r w:rsidRPr="004008B7">
              <w:rPr>
                <w:rFonts w:cstheme="minorHAnsi"/>
                <w:sz w:val="20"/>
                <w:szCs w:val="20"/>
              </w:rPr>
              <w:t>Email Amanda Gist.</w:t>
            </w:r>
          </w:p>
          <w:p w14:paraId="54CD5FA5" w14:textId="77777777" w:rsidR="004008B7" w:rsidRPr="004008B7" w:rsidRDefault="004008B7" w:rsidP="004008B7">
            <w:pPr>
              <w:rPr>
                <w:rFonts w:cstheme="minorHAnsi"/>
                <w:sz w:val="20"/>
                <w:szCs w:val="20"/>
              </w:rPr>
            </w:pPr>
            <w:r w:rsidRPr="004008B7">
              <w:rPr>
                <w:rFonts w:cstheme="minorHAnsi"/>
                <w:sz w:val="20"/>
                <w:szCs w:val="20"/>
              </w:rPr>
              <w:t>Attach proposed budget to be reviewed in advance.</w:t>
            </w:r>
          </w:p>
          <w:p w14:paraId="65DB26AA" w14:textId="77777777" w:rsidR="004008B7" w:rsidRPr="004008B7" w:rsidRDefault="004008B7" w:rsidP="004008B7">
            <w:pPr>
              <w:rPr>
                <w:rFonts w:cstheme="minorHAnsi"/>
                <w:sz w:val="20"/>
                <w:szCs w:val="20"/>
              </w:rPr>
            </w:pPr>
            <w:r w:rsidRPr="004008B7">
              <w:rPr>
                <w:rFonts w:cstheme="minorHAnsi"/>
                <w:sz w:val="20"/>
                <w:szCs w:val="20"/>
              </w:rPr>
              <w:t>Typical budget $3-4k</w:t>
            </w:r>
          </w:p>
          <w:p w14:paraId="23672CEA" w14:textId="466D691C" w:rsidR="004008B7" w:rsidRPr="004008B7" w:rsidRDefault="004008B7" w:rsidP="004008B7">
            <w:pPr>
              <w:rPr>
                <w:rFonts w:cstheme="minorHAnsi"/>
                <w:sz w:val="20"/>
                <w:szCs w:val="20"/>
              </w:rPr>
            </w:pPr>
            <w:r w:rsidRPr="004008B7">
              <w:rPr>
                <w:rFonts w:cstheme="minorHAnsi"/>
                <w:sz w:val="20"/>
                <w:szCs w:val="20"/>
              </w:rPr>
              <w:t>Meeting likely won’t be schedule</w:t>
            </w:r>
            <w:r w:rsidR="00C21464">
              <w:rPr>
                <w:rFonts w:cstheme="minorHAnsi"/>
                <w:sz w:val="20"/>
                <w:szCs w:val="20"/>
              </w:rPr>
              <w:t>d</w:t>
            </w:r>
            <w:r w:rsidRPr="004008B7">
              <w:rPr>
                <w:rFonts w:cstheme="minorHAnsi"/>
                <w:sz w:val="20"/>
                <w:szCs w:val="20"/>
              </w:rPr>
              <w:t xml:space="preserve"> until early September</w:t>
            </w:r>
          </w:p>
        </w:tc>
        <w:tc>
          <w:tcPr>
            <w:tcW w:w="2790" w:type="dxa"/>
          </w:tcPr>
          <w:p w14:paraId="4832C8BA" w14:textId="77777777" w:rsidR="004008B7" w:rsidRPr="004008B7" w:rsidRDefault="004008B7" w:rsidP="004008B7">
            <w:pPr>
              <w:rPr>
                <w:rFonts w:cstheme="minorHAnsi"/>
                <w:sz w:val="20"/>
                <w:szCs w:val="20"/>
              </w:rPr>
            </w:pPr>
            <w:r w:rsidRPr="004008B7">
              <w:rPr>
                <w:rFonts w:cstheme="minorHAnsi"/>
                <w:sz w:val="20"/>
                <w:szCs w:val="20"/>
              </w:rPr>
              <w:t>Last year’s budget</w:t>
            </w:r>
          </w:p>
        </w:tc>
      </w:tr>
      <w:tr w:rsidR="00C21464" w:rsidRPr="004008B7" w14:paraId="1387385B" w14:textId="77777777" w:rsidTr="004008B7">
        <w:tc>
          <w:tcPr>
            <w:tcW w:w="1345" w:type="dxa"/>
          </w:tcPr>
          <w:p w14:paraId="7F344B86" w14:textId="77777777" w:rsidR="00C21464" w:rsidRPr="004008B7" w:rsidRDefault="00C21464" w:rsidP="004008B7">
            <w:pPr>
              <w:rPr>
                <w:rFonts w:cstheme="minorHAnsi"/>
                <w:sz w:val="20"/>
                <w:szCs w:val="20"/>
              </w:rPr>
            </w:pPr>
          </w:p>
        </w:tc>
        <w:tc>
          <w:tcPr>
            <w:tcW w:w="3060" w:type="dxa"/>
          </w:tcPr>
          <w:p w14:paraId="144242CD" w14:textId="77777777" w:rsidR="00C21464" w:rsidRPr="004008B7" w:rsidRDefault="00C21464" w:rsidP="004008B7">
            <w:pPr>
              <w:rPr>
                <w:rFonts w:cstheme="minorHAnsi"/>
                <w:sz w:val="20"/>
                <w:szCs w:val="20"/>
              </w:rPr>
            </w:pPr>
          </w:p>
        </w:tc>
        <w:tc>
          <w:tcPr>
            <w:tcW w:w="1890" w:type="dxa"/>
          </w:tcPr>
          <w:p w14:paraId="4D097456" w14:textId="77777777" w:rsidR="00C21464" w:rsidRPr="004008B7" w:rsidRDefault="00C21464" w:rsidP="004008B7">
            <w:pPr>
              <w:rPr>
                <w:rFonts w:cstheme="minorHAnsi"/>
                <w:sz w:val="20"/>
                <w:szCs w:val="20"/>
              </w:rPr>
            </w:pPr>
          </w:p>
        </w:tc>
        <w:tc>
          <w:tcPr>
            <w:tcW w:w="3960" w:type="dxa"/>
          </w:tcPr>
          <w:p w14:paraId="7EC0D41D" w14:textId="77777777" w:rsidR="00C21464" w:rsidRPr="004008B7" w:rsidRDefault="00C21464" w:rsidP="004008B7">
            <w:pPr>
              <w:rPr>
                <w:rFonts w:cstheme="minorHAnsi"/>
                <w:sz w:val="20"/>
                <w:szCs w:val="20"/>
              </w:rPr>
            </w:pPr>
          </w:p>
        </w:tc>
        <w:tc>
          <w:tcPr>
            <w:tcW w:w="2790" w:type="dxa"/>
          </w:tcPr>
          <w:p w14:paraId="46966AAD" w14:textId="77777777" w:rsidR="00C21464" w:rsidRPr="004008B7" w:rsidRDefault="00C21464" w:rsidP="004008B7">
            <w:pPr>
              <w:rPr>
                <w:rFonts w:cstheme="minorHAnsi"/>
                <w:sz w:val="20"/>
                <w:szCs w:val="20"/>
              </w:rPr>
            </w:pPr>
          </w:p>
        </w:tc>
      </w:tr>
      <w:tr w:rsidR="004008B7" w:rsidRPr="004008B7" w14:paraId="4A3C891E" w14:textId="77777777" w:rsidTr="004008B7">
        <w:tc>
          <w:tcPr>
            <w:tcW w:w="1345" w:type="dxa"/>
          </w:tcPr>
          <w:p w14:paraId="688EBA34" w14:textId="731B4416" w:rsidR="004008B7" w:rsidRPr="004008B7" w:rsidRDefault="00C21464" w:rsidP="004008B7">
            <w:pPr>
              <w:rPr>
                <w:rFonts w:cstheme="minorHAnsi"/>
                <w:sz w:val="20"/>
                <w:szCs w:val="20"/>
              </w:rPr>
            </w:pPr>
            <w:r>
              <w:rPr>
                <w:rFonts w:cstheme="minorHAnsi"/>
                <w:sz w:val="20"/>
                <w:szCs w:val="20"/>
              </w:rPr>
              <w:t>September</w:t>
            </w:r>
          </w:p>
        </w:tc>
        <w:tc>
          <w:tcPr>
            <w:tcW w:w="3060" w:type="dxa"/>
          </w:tcPr>
          <w:p w14:paraId="468A5454" w14:textId="2DC8F99E" w:rsidR="004008B7" w:rsidRPr="004008B7" w:rsidRDefault="00C21464" w:rsidP="004008B7">
            <w:pPr>
              <w:rPr>
                <w:rFonts w:cstheme="minorHAnsi"/>
                <w:sz w:val="20"/>
                <w:szCs w:val="20"/>
              </w:rPr>
            </w:pPr>
            <w:r>
              <w:rPr>
                <w:rFonts w:cstheme="minorHAnsi"/>
                <w:sz w:val="20"/>
                <w:szCs w:val="20"/>
              </w:rPr>
              <w:t>Email Sung Kettler to update website</w:t>
            </w:r>
          </w:p>
        </w:tc>
        <w:tc>
          <w:tcPr>
            <w:tcW w:w="1890" w:type="dxa"/>
          </w:tcPr>
          <w:p w14:paraId="43D1E286" w14:textId="5949BBEC" w:rsidR="004008B7" w:rsidRPr="004008B7" w:rsidRDefault="004008B7" w:rsidP="004008B7">
            <w:pPr>
              <w:rPr>
                <w:rFonts w:cstheme="minorHAnsi"/>
                <w:sz w:val="20"/>
                <w:szCs w:val="20"/>
              </w:rPr>
            </w:pPr>
          </w:p>
        </w:tc>
        <w:tc>
          <w:tcPr>
            <w:tcW w:w="3960" w:type="dxa"/>
          </w:tcPr>
          <w:p w14:paraId="22FF2746" w14:textId="77777777" w:rsidR="004008B7" w:rsidRDefault="00722B1F" w:rsidP="004008B7">
            <w:pPr>
              <w:rPr>
                <w:rFonts w:cstheme="minorHAnsi"/>
                <w:sz w:val="20"/>
                <w:szCs w:val="20"/>
              </w:rPr>
            </w:pPr>
            <w:r>
              <w:rPr>
                <w:rFonts w:cstheme="minorHAnsi"/>
                <w:sz w:val="20"/>
                <w:szCs w:val="20"/>
              </w:rPr>
              <w:t xml:space="preserve">Email Sung with updated information for </w:t>
            </w:r>
          </w:p>
          <w:p w14:paraId="3BFA2C78" w14:textId="46ED18CB" w:rsidR="00722B1F" w:rsidRDefault="001A4C59" w:rsidP="004008B7">
            <w:pPr>
              <w:rPr>
                <w:rFonts w:cstheme="minorHAnsi"/>
                <w:sz w:val="20"/>
                <w:szCs w:val="20"/>
              </w:rPr>
            </w:pPr>
            <w:hyperlink r:id="rId4" w:history="1">
              <w:r w:rsidRPr="00484246">
                <w:rPr>
                  <w:rStyle w:val="Hyperlink"/>
                  <w:rFonts w:cstheme="minorHAnsi"/>
                  <w:sz w:val="20"/>
                  <w:szCs w:val="20"/>
                </w:rPr>
                <w:t>https://www.oldwestbury.edu/faculty-governance/tlrc</w:t>
              </w:r>
            </w:hyperlink>
          </w:p>
          <w:p w14:paraId="65EBF782" w14:textId="01CD4C71" w:rsidR="001A4C59" w:rsidRPr="004008B7" w:rsidRDefault="001A4C59" w:rsidP="004008B7">
            <w:pPr>
              <w:rPr>
                <w:rFonts w:cstheme="minorHAnsi"/>
                <w:sz w:val="20"/>
                <w:szCs w:val="20"/>
              </w:rPr>
            </w:pPr>
          </w:p>
        </w:tc>
        <w:tc>
          <w:tcPr>
            <w:tcW w:w="2790" w:type="dxa"/>
          </w:tcPr>
          <w:p w14:paraId="28832559" w14:textId="4BB5F012" w:rsidR="00722B1F" w:rsidRPr="004008B7" w:rsidRDefault="00722B1F" w:rsidP="004008B7">
            <w:pPr>
              <w:rPr>
                <w:rFonts w:cstheme="minorHAnsi"/>
                <w:sz w:val="20"/>
                <w:szCs w:val="20"/>
              </w:rPr>
            </w:pPr>
          </w:p>
        </w:tc>
      </w:tr>
      <w:tr w:rsidR="004008B7" w:rsidRPr="004008B7" w14:paraId="258F53B4" w14:textId="77777777" w:rsidTr="004008B7">
        <w:tc>
          <w:tcPr>
            <w:tcW w:w="1345" w:type="dxa"/>
          </w:tcPr>
          <w:p w14:paraId="0F65302C" w14:textId="77777777" w:rsidR="004008B7" w:rsidRPr="004008B7" w:rsidRDefault="004008B7" w:rsidP="004008B7">
            <w:pPr>
              <w:rPr>
                <w:rFonts w:cstheme="minorHAnsi"/>
                <w:sz w:val="20"/>
                <w:szCs w:val="20"/>
              </w:rPr>
            </w:pPr>
          </w:p>
        </w:tc>
        <w:tc>
          <w:tcPr>
            <w:tcW w:w="3060" w:type="dxa"/>
          </w:tcPr>
          <w:p w14:paraId="37F5CD85" w14:textId="77777777" w:rsidR="004008B7" w:rsidRPr="004008B7" w:rsidRDefault="004008B7" w:rsidP="004008B7">
            <w:pPr>
              <w:rPr>
                <w:rFonts w:cstheme="minorHAnsi"/>
                <w:sz w:val="20"/>
                <w:szCs w:val="20"/>
              </w:rPr>
            </w:pPr>
          </w:p>
        </w:tc>
        <w:tc>
          <w:tcPr>
            <w:tcW w:w="1890" w:type="dxa"/>
          </w:tcPr>
          <w:p w14:paraId="6BDA305F" w14:textId="77777777" w:rsidR="004008B7" w:rsidRPr="004008B7" w:rsidRDefault="004008B7" w:rsidP="004008B7">
            <w:pPr>
              <w:rPr>
                <w:rFonts w:cstheme="minorHAnsi"/>
                <w:sz w:val="20"/>
                <w:szCs w:val="20"/>
              </w:rPr>
            </w:pPr>
          </w:p>
        </w:tc>
        <w:tc>
          <w:tcPr>
            <w:tcW w:w="3960" w:type="dxa"/>
          </w:tcPr>
          <w:p w14:paraId="2C7E8A2C" w14:textId="77777777" w:rsidR="004008B7" w:rsidRPr="004008B7" w:rsidRDefault="004008B7" w:rsidP="004008B7">
            <w:pPr>
              <w:rPr>
                <w:rFonts w:cstheme="minorHAnsi"/>
                <w:sz w:val="20"/>
                <w:szCs w:val="20"/>
              </w:rPr>
            </w:pPr>
          </w:p>
        </w:tc>
        <w:tc>
          <w:tcPr>
            <w:tcW w:w="2790" w:type="dxa"/>
          </w:tcPr>
          <w:p w14:paraId="0D8795ED" w14:textId="77777777" w:rsidR="004008B7" w:rsidRPr="004008B7" w:rsidRDefault="004008B7" w:rsidP="004008B7">
            <w:pPr>
              <w:rPr>
                <w:rFonts w:cstheme="minorHAnsi"/>
                <w:sz w:val="20"/>
                <w:szCs w:val="20"/>
              </w:rPr>
            </w:pPr>
          </w:p>
        </w:tc>
      </w:tr>
    </w:tbl>
    <w:p w14:paraId="068AF97C" w14:textId="77777777" w:rsidR="00F573F5" w:rsidRDefault="00F573F5"/>
    <w:p w14:paraId="1C91BC67" w14:textId="77777777" w:rsidR="00EF78D6" w:rsidRDefault="00EF78D6" w:rsidP="00EF78D6">
      <w:r>
        <w:t>TLRC Annual Planning Calendar</w:t>
      </w:r>
    </w:p>
    <w:p w14:paraId="6C0814B9" w14:textId="45A1AA38" w:rsidR="00EF78D6" w:rsidRDefault="00EF78D6" w:rsidP="00EF78D6">
      <w:r>
        <w:t xml:space="preserve">Select possible dates for fall events and reserve Red Room as early as possible.  We typically schedule events in Weeks 5, 8, and 11.  In the fall we sometimes schedule a “New &amp; Newish Faculty Check-In and Grading Party” during Week 16 (finals week).  We typically reserve two dates for each event – a Tuesday/Thursday and a Monday/Wednesday (although typically not Mondays).  Once the committee meets in September to set the schedule and speakers are lined up, we cancel the backup dates by emailing Nick.  (This is important: if you don’t cancel, no one else can use those dates.)  </w:t>
      </w:r>
    </w:p>
    <w:sectPr w:rsidR="00EF78D6" w:rsidSect="004008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D6"/>
    <w:rsid w:val="001A4C59"/>
    <w:rsid w:val="001D501B"/>
    <w:rsid w:val="004008B7"/>
    <w:rsid w:val="00722B1F"/>
    <w:rsid w:val="008F030A"/>
    <w:rsid w:val="00902C2D"/>
    <w:rsid w:val="00A80F87"/>
    <w:rsid w:val="00B55C83"/>
    <w:rsid w:val="00C21464"/>
    <w:rsid w:val="00EF78D6"/>
    <w:rsid w:val="00F5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C8BD"/>
  <w15:chartTrackingRefBased/>
  <w15:docId w15:val="{821D9FCE-AF8D-41D9-8C28-296BF672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08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08B7"/>
    <w:rPr>
      <w:rFonts w:ascii="Segoe UI" w:hAnsi="Segoe UI" w:cs="Segoe UI"/>
      <w:sz w:val="18"/>
      <w:szCs w:val="18"/>
    </w:rPr>
  </w:style>
  <w:style w:type="character" w:styleId="Hyperlink">
    <w:name w:val="Hyperlink"/>
    <w:basedOn w:val="DefaultParagraphFont"/>
    <w:uiPriority w:val="99"/>
    <w:unhideWhenUsed/>
    <w:rsid w:val="00C21464"/>
    <w:rPr>
      <w:color w:val="0563C1" w:themeColor="hyperlink"/>
      <w:u w:val="single"/>
    </w:rPr>
  </w:style>
  <w:style w:type="character" w:styleId="UnresolvedMention">
    <w:name w:val="Unresolved Mention"/>
    <w:basedOn w:val="DefaultParagraphFont"/>
    <w:uiPriority w:val="99"/>
    <w:semiHidden/>
    <w:unhideWhenUsed/>
    <w:rsid w:val="00C214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ldwestbury.edu/faculty-governance/tlrc"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1886D2-78FE-48B4-AC78-8CB9FA3F897A}"/>
</file>

<file path=customXml/itemProps2.xml><?xml version="1.0" encoding="utf-8"?>
<ds:datastoreItem xmlns:ds="http://schemas.openxmlformats.org/officeDocument/2006/customXml" ds:itemID="{51BBF53C-3B35-48EA-A28E-E184284512D0}"/>
</file>

<file path=customXml/itemProps3.xml><?xml version="1.0" encoding="utf-8"?>
<ds:datastoreItem xmlns:ds="http://schemas.openxmlformats.org/officeDocument/2006/customXml" ds:itemID="{AA7C8FCD-54F2-484D-B3B2-F4F3CC17754C}"/>
</file>

<file path=docProps/app.xml><?xml version="1.0" encoding="utf-8"?>
<Properties xmlns="http://schemas.openxmlformats.org/officeDocument/2006/extended-properties" xmlns:vt="http://schemas.openxmlformats.org/officeDocument/2006/docPropsVTypes">
  <Template>Normal</Template>
  <TotalTime>2404</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Crocker</dc:creator>
  <cp:keywords/>
  <dc:description/>
  <cp:lastModifiedBy>Jillian Crocker</cp:lastModifiedBy>
  <cp:revision>7</cp:revision>
  <cp:lastPrinted>2019-06-06T14:55:00Z</cp:lastPrinted>
  <dcterms:created xsi:type="dcterms:W3CDTF">2018-07-17T01:43:00Z</dcterms:created>
  <dcterms:modified xsi:type="dcterms:W3CDTF">2019-06-06T14:58:00Z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