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DD37F5" w:rsidRDefault="00F95745" w:rsidP="00F95745">
      <w:pPr>
        <w:pStyle w:val="Title"/>
      </w:pPr>
      <w:r>
        <w:t>Bio .Net Programmer’s Primer</w:t>
      </w:r>
    </w:p>
    <w:p w:rsidR="00F95745" w:rsidRDefault="00F95745" w:rsidP="00F95745">
      <w:pPr>
        <w:pStyle w:val="Heading1"/>
      </w:pPr>
      <w:r>
        <w:t>Introduction</w:t>
      </w:r>
    </w:p>
    <w:p w:rsidR="00F95745" w:rsidRDefault="00F95745">
      <w:r>
        <w:t>This document is meant to serve as an introduction to programming using the Bio .Net libraries from Microsoft Research. This will likely be helpful for both programmers wishing to pursue application development in the field of bioinformatics as well as for programmers wishing to contribute back to the Bio .Net libraries project. This primer should not be viewed as introduction to either the basics of biology or .Net programming.</w:t>
      </w:r>
    </w:p>
    <w:p w:rsidR="00F95745" w:rsidRDefault="00F95745">
      <w:r>
        <w:t>All code examples will be given in C#, though any other .Net language can be used.</w:t>
      </w:r>
    </w:p>
    <w:p w:rsidR="00F95745" w:rsidRDefault="00F95745" w:rsidP="00F95745">
      <w:pPr>
        <w:pStyle w:val="Heading1"/>
      </w:pPr>
      <w:r>
        <w:t>Working with Sequences</w:t>
      </w:r>
    </w:p>
    <w:p w:rsidR="00F95745" w:rsidRDefault="00F95745" w:rsidP="00F95745">
      <w:r>
        <w:t xml:space="preserve">A Sequence object stores the data and meta-data associated with any sequence of symbol-based data. Most often the sequence will represent a DNA, RNA, or protein sequence. </w:t>
      </w:r>
      <w:r w:rsidR="00CC18D9" w:rsidRPr="000A2D05">
        <w:rPr>
          <w:rFonts w:ascii="Consolas" w:hAnsi="Consolas" w:cs="Consolas"/>
        </w:rPr>
        <w:t>Sequence</w:t>
      </w:r>
      <w:r w:rsidR="00CC18D9">
        <w:t xml:space="preserve"> allows access to the core data, which are defined as </w:t>
      </w:r>
      <w:proofErr w:type="spellStart"/>
      <w:r w:rsidR="00CC18D9" w:rsidRPr="000A2D05">
        <w:rPr>
          <w:rFonts w:ascii="Consolas" w:hAnsi="Consolas" w:cs="Consolas"/>
        </w:rPr>
        <w:t>ISequenceItem</w:t>
      </w:r>
      <w:proofErr w:type="spellEnd"/>
      <w:r w:rsidR="00CC18D9">
        <w:t xml:space="preserve"> implementations as well as defined meta-data (like an ID property) as well as general table based meta-data that can be defined by the user.</w:t>
      </w:r>
    </w:p>
    <w:p w:rsidR="00CC18D9" w:rsidRDefault="00CC18D9" w:rsidP="00F95745">
      <w:r>
        <w:t xml:space="preserve">All sequence implementations support the interface </w:t>
      </w:r>
      <w:proofErr w:type="spellStart"/>
      <w:r w:rsidRPr="000A2D05">
        <w:rPr>
          <w:rFonts w:ascii="Consolas" w:hAnsi="Consolas" w:cs="Consolas"/>
        </w:rPr>
        <w:t>ISequence</w:t>
      </w:r>
      <w:proofErr w:type="spellEnd"/>
      <w:r>
        <w:t xml:space="preserve"> and the standard implementation for </w:t>
      </w:r>
      <w:proofErr w:type="spellStart"/>
      <w:r w:rsidRPr="000A2D05">
        <w:rPr>
          <w:rStyle w:val="CodeChar"/>
        </w:rPr>
        <w:t>ISequence</w:t>
      </w:r>
      <w:proofErr w:type="spellEnd"/>
      <w:r>
        <w:t xml:space="preserve"> is simply called Sequence. A </w:t>
      </w:r>
      <w:r w:rsidRPr="000A2D05">
        <w:rPr>
          <w:rStyle w:val="CodeChar"/>
        </w:rPr>
        <w:t>Sequence</w:t>
      </w:r>
      <w:r>
        <w:t xml:space="preserve"> must have its </w:t>
      </w:r>
      <w:r w:rsidRPr="000A2D05">
        <w:rPr>
          <w:rStyle w:val="CodeChar"/>
        </w:rPr>
        <w:t>Alphabet</w:t>
      </w:r>
      <w:r>
        <w:t xml:space="preserve"> (DNA, RNA, Protein, etc.) defined at all times. All other data and meta-data can be added or accessed at any time after the </w:t>
      </w:r>
      <w:r w:rsidRPr="000A2D05">
        <w:rPr>
          <w:rStyle w:val="CodeChar"/>
        </w:rPr>
        <w:t>Sequence</w:t>
      </w:r>
      <w:r>
        <w:t xml:space="preserve"> is constructed.</w:t>
      </w:r>
    </w:p>
    <w:p w:rsidR="00BD131F" w:rsidRDefault="00BD131F" w:rsidP="00BD131F">
      <w:pPr>
        <w:pStyle w:val="Heading3"/>
      </w:pPr>
      <w:r>
        <w:t>The Sequence Class</w:t>
      </w:r>
    </w:p>
    <w:p w:rsidR="00CC18D9" w:rsidRDefault="00CC18D9" w:rsidP="00F95745">
      <w:r>
        <w:t>To create a sequence for storing DNA data:</w:t>
      </w:r>
    </w:p>
    <w:p w:rsidR="00CC18D9" w:rsidRDefault="00CC18D9" w:rsidP="00F95745">
      <w:pPr>
        <w:rPr>
          <w:rFonts w:ascii="Courier New" w:hAnsi="Courier New" w:cs="Courier New"/>
          <w:noProof/>
          <w:sz w:val="20"/>
          <w:szCs w:val="20"/>
        </w:rPr>
      </w:pPr>
      <w:r>
        <w:rPr>
          <w:rFonts w:ascii="Courier New" w:hAnsi="Courier New" w:cs="Courier New"/>
          <w:noProof/>
          <w:color w:val="2B91AF"/>
          <w:sz w:val="20"/>
          <w:szCs w:val="20"/>
        </w:rPr>
        <w:t>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.Dna);</w:t>
      </w:r>
    </w:p>
    <w:p w:rsidR="00CC18D9" w:rsidRDefault="00CC18D9" w:rsidP="00F95745">
      <w:r>
        <w:t xml:space="preserve">This creates a sequence with no data or meta-data. Sequences can be set to be read-only or editable. As of this writing, </w:t>
      </w:r>
      <w:r w:rsidRPr="000A2D05">
        <w:rPr>
          <w:rStyle w:val="CodeChar"/>
        </w:rPr>
        <w:t>Sequence</w:t>
      </w:r>
      <w:r>
        <w:t xml:space="preserve"> always defaults to read-only (which saves memory), but this can be changed by setting a single flag.</w:t>
      </w:r>
    </w:p>
    <w:p w:rsidR="00CC18D9" w:rsidRDefault="00CC18D9" w:rsidP="00F95745">
      <w:r>
        <w:t xml:space="preserve">To create a DNA sequence whose nucleotides are already </w:t>
      </w:r>
      <w:proofErr w:type="gramStart"/>
      <w:r>
        <w:t>known:</w:t>
      </w:r>
      <w:proofErr w:type="gramEnd"/>
    </w:p>
    <w:p w:rsidR="00CC18D9" w:rsidRDefault="00CC18D9" w:rsidP="00F95745">
      <w:r>
        <w:rPr>
          <w:rFonts w:ascii="Courier New" w:hAnsi="Courier New" w:cs="Courier New"/>
          <w:noProof/>
          <w:color w:val="2B91AF"/>
          <w:sz w:val="20"/>
          <w:szCs w:val="20"/>
        </w:rPr>
        <w:t>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 xml:space="preserve">.Dna, </w:t>
      </w:r>
      <w:r>
        <w:rPr>
          <w:rFonts w:ascii="Courier New" w:hAnsi="Courier New" w:cs="Courier New"/>
          <w:noProof/>
          <w:color w:val="A31515"/>
          <w:sz w:val="20"/>
          <w:szCs w:val="20"/>
        </w:rPr>
        <w:t>"GATTCCA"</w:t>
      </w:r>
      <w:r>
        <w:rPr>
          <w:rFonts w:ascii="Courier New" w:hAnsi="Courier New" w:cs="Courier New"/>
          <w:noProof/>
          <w:sz w:val="20"/>
          <w:szCs w:val="20"/>
        </w:rPr>
        <w:t>);</w:t>
      </w:r>
    </w:p>
    <w:p w:rsidR="00CC18D9" w:rsidRDefault="00CC18D9" w:rsidP="00F95745">
      <w:r>
        <w:t>The individual characters in the string must simply map to known characters in the DNA alphabet.</w:t>
      </w:r>
    </w:p>
    <w:p w:rsidR="00CC18D9" w:rsidRDefault="00CC18D9" w:rsidP="00F95745">
      <w:r>
        <w:t>Another way to do this more explicitly:</w:t>
      </w:r>
    </w:p>
    <w:p w:rsidR="00CC18D9" w:rsidRDefault="00CC18D9" w:rsidP="00CC18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.Dna);</w:t>
      </w:r>
    </w:p>
    <w:p w:rsidR="00CC18D9" w:rsidRDefault="00CC18D9" w:rsidP="00CC18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mySequence.IsReadOnly = </w:t>
      </w:r>
      <w:r>
        <w:rPr>
          <w:rFonts w:ascii="Courier New" w:hAnsi="Courier New" w:cs="Courier New"/>
          <w:noProof/>
          <w:color w:val="0000FF"/>
          <w:sz w:val="20"/>
          <w:szCs w:val="20"/>
        </w:rPr>
        <w:t>false</w:t>
      </w:r>
      <w:r>
        <w:rPr>
          <w:rFonts w:ascii="Courier New" w:hAnsi="Courier New" w:cs="Courier New"/>
          <w:noProof/>
          <w:sz w:val="20"/>
          <w:szCs w:val="20"/>
        </w:rPr>
        <w:t>;</w:t>
      </w:r>
    </w:p>
    <w:p w:rsidR="00CC18D9" w:rsidRDefault="00CC18D9" w:rsidP="00CC18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mySequence.Add(</w:t>
      </w:r>
      <w:r>
        <w:rPr>
          <w:rFonts w:ascii="Courier New" w:hAnsi="Courier New" w:cs="Courier New"/>
          <w:noProof/>
          <w:color w:val="2B91AF"/>
          <w:sz w:val="20"/>
          <w:szCs w:val="20"/>
        </w:rPr>
        <w:t>Alphabets</w:t>
      </w:r>
      <w:r>
        <w:rPr>
          <w:rFonts w:ascii="Courier New" w:hAnsi="Courier New" w:cs="Courier New"/>
          <w:noProof/>
          <w:sz w:val="20"/>
          <w:szCs w:val="20"/>
        </w:rPr>
        <w:t>.Dna.G);</w:t>
      </w:r>
    </w:p>
    <w:p w:rsidR="00CC18D9" w:rsidRDefault="00CC18D9" w:rsidP="00CC18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mySequence.Add(</w:t>
      </w:r>
      <w:r>
        <w:rPr>
          <w:rFonts w:ascii="Courier New" w:hAnsi="Courier New" w:cs="Courier New"/>
          <w:noProof/>
          <w:color w:val="2B91AF"/>
          <w:sz w:val="20"/>
          <w:szCs w:val="20"/>
        </w:rPr>
        <w:t>Alphabets</w:t>
      </w:r>
      <w:r>
        <w:rPr>
          <w:rFonts w:ascii="Courier New" w:hAnsi="Courier New" w:cs="Courier New"/>
          <w:noProof/>
          <w:sz w:val="20"/>
          <w:szCs w:val="20"/>
        </w:rPr>
        <w:t>.Dna.A);</w:t>
      </w:r>
    </w:p>
    <w:p w:rsidR="00CC18D9" w:rsidRDefault="00CC18D9" w:rsidP="00CC18D9">
      <w:pPr>
        <w:rPr>
          <w:rFonts w:ascii="Courier New" w:hAnsi="Courier New" w:cs="Courier New"/>
          <w:noProof/>
          <w:sz w:val="20"/>
          <w:szCs w:val="20"/>
        </w:rPr>
      </w:pPr>
      <w:r>
        <w:rPr>
          <w:rFonts w:ascii="Courier New" w:hAnsi="Courier New" w:cs="Courier New"/>
          <w:noProof/>
          <w:sz w:val="20"/>
          <w:szCs w:val="20"/>
        </w:rPr>
        <w:t>mySequence.Add(</w:t>
      </w:r>
      <w:r>
        <w:rPr>
          <w:rFonts w:ascii="Courier New" w:hAnsi="Courier New" w:cs="Courier New"/>
          <w:noProof/>
          <w:color w:val="2B91AF"/>
          <w:sz w:val="20"/>
          <w:szCs w:val="20"/>
        </w:rPr>
        <w:t>Alphabets</w:t>
      </w:r>
      <w:r>
        <w:rPr>
          <w:rFonts w:ascii="Courier New" w:hAnsi="Courier New" w:cs="Courier New"/>
          <w:noProof/>
          <w:sz w:val="20"/>
          <w:szCs w:val="20"/>
        </w:rPr>
        <w:t>.Dna.T);</w:t>
      </w:r>
    </w:p>
    <w:p w:rsidR="00CC18D9" w:rsidRDefault="00BD131F" w:rsidP="00CC18D9">
      <w:r>
        <w:lastRenderedPageBreak/>
        <w:t xml:space="preserve">These sequences now store sequence data. Each symbol of data is stored as an </w:t>
      </w:r>
      <w:proofErr w:type="spellStart"/>
      <w:r w:rsidRPr="000A2D05">
        <w:rPr>
          <w:rStyle w:val="CodeChar"/>
        </w:rPr>
        <w:t>ISequenceItem</w:t>
      </w:r>
      <w:proofErr w:type="spellEnd"/>
      <w:r>
        <w:t xml:space="preserve"> and every </w:t>
      </w:r>
      <w:proofErr w:type="spellStart"/>
      <w:r w:rsidRPr="000A2D05">
        <w:rPr>
          <w:rStyle w:val="CodeChar"/>
        </w:rPr>
        <w:t>ISequence</w:t>
      </w:r>
      <w:proofErr w:type="spellEnd"/>
      <w:r>
        <w:t xml:space="preserve"> implementation can be treated as a generic List of </w:t>
      </w:r>
      <w:proofErr w:type="spellStart"/>
      <w:r w:rsidRPr="000A2D05">
        <w:rPr>
          <w:rStyle w:val="CodeChar"/>
        </w:rPr>
        <w:t>ISequenceItem</w:t>
      </w:r>
      <w:proofErr w:type="spellEnd"/>
      <w:r>
        <w:t xml:space="preserve">. Since the items stored in the DNA </w:t>
      </w:r>
      <w:r w:rsidRPr="000A2D05">
        <w:rPr>
          <w:rStyle w:val="CodeChar"/>
        </w:rPr>
        <w:t>Alphabet</w:t>
      </w:r>
      <w:r>
        <w:t xml:space="preserve"> are of type </w:t>
      </w:r>
      <w:r w:rsidRPr="000A2D05">
        <w:rPr>
          <w:rStyle w:val="CodeChar"/>
        </w:rPr>
        <w:t>Nucleotide</w:t>
      </w:r>
      <w:r>
        <w:t xml:space="preserve">, </w:t>
      </w:r>
      <w:r w:rsidRPr="000A2D05">
        <w:rPr>
          <w:rStyle w:val="CodeChar"/>
        </w:rPr>
        <w:t>Nucleotide</w:t>
      </w:r>
      <w:r>
        <w:t xml:space="preserve"> must be an implementation of </w:t>
      </w:r>
      <w:proofErr w:type="spellStart"/>
      <w:r w:rsidRPr="000A2D05">
        <w:rPr>
          <w:rStyle w:val="CodeChar"/>
        </w:rPr>
        <w:t>ISequenceItem</w:t>
      </w:r>
      <w:proofErr w:type="spellEnd"/>
      <w:r>
        <w:t>.</w:t>
      </w:r>
    </w:p>
    <w:p w:rsidR="00BD131F" w:rsidRDefault="00BD131F" w:rsidP="00CC18D9">
      <w:r>
        <w:t xml:space="preserve">Accessing the items in a sequence is simple. Consider this program which counts the number of ‘G’ symbols found in an </w:t>
      </w:r>
      <w:proofErr w:type="spellStart"/>
      <w:r w:rsidRPr="000A2D05">
        <w:rPr>
          <w:rStyle w:val="CodeChar"/>
        </w:rPr>
        <w:t>ISequence</w:t>
      </w:r>
      <w:proofErr w:type="spellEnd"/>
      <w:r>
        <w:t>:</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 xml:space="preserve">.Dna, </w:t>
      </w:r>
      <w:r>
        <w:rPr>
          <w:rFonts w:ascii="Courier New" w:hAnsi="Courier New" w:cs="Courier New"/>
          <w:noProof/>
          <w:color w:val="A31515"/>
          <w:sz w:val="20"/>
          <w:szCs w:val="20"/>
        </w:rPr>
        <w:t>"GATTAGC"</w:t>
      </w:r>
      <w:r>
        <w:rPr>
          <w:rFonts w:ascii="Courier New" w:hAnsi="Courier New" w:cs="Courier New"/>
          <w:noProof/>
          <w:sz w:val="20"/>
          <w:szCs w:val="20"/>
        </w:rPr>
        <w:t>);</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gCount = 0;</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Nucleotide</w:t>
      </w:r>
      <w:r>
        <w:rPr>
          <w:rFonts w:ascii="Courier New" w:hAnsi="Courier New" w:cs="Courier New"/>
          <w:noProof/>
          <w:sz w:val="20"/>
          <w:szCs w:val="20"/>
        </w:rPr>
        <w:t xml:space="preserve"> n </w:t>
      </w:r>
      <w:r>
        <w:rPr>
          <w:rFonts w:ascii="Courier New" w:hAnsi="Courier New" w:cs="Courier New"/>
          <w:noProof/>
          <w:color w:val="0000FF"/>
          <w:sz w:val="20"/>
          <w:szCs w:val="20"/>
        </w:rPr>
        <w:t>in</w:t>
      </w:r>
      <w:r>
        <w:rPr>
          <w:rFonts w:ascii="Courier New" w:hAnsi="Courier New" w:cs="Courier New"/>
          <w:noProof/>
          <w:sz w:val="20"/>
          <w:szCs w:val="20"/>
        </w:rPr>
        <w:t xml:space="preserve"> mySequence)</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 == </w:t>
      </w:r>
      <w:r>
        <w:rPr>
          <w:rFonts w:ascii="Courier New" w:hAnsi="Courier New" w:cs="Courier New"/>
          <w:noProof/>
          <w:color w:val="2B91AF"/>
          <w:sz w:val="20"/>
          <w:szCs w:val="20"/>
        </w:rPr>
        <w:t>Alphabets</w:t>
      </w:r>
      <w:r>
        <w:rPr>
          <w:rFonts w:ascii="Courier New" w:hAnsi="Courier New" w:cs="Courier New"/>
          <w:noProof/>
          <w:sz w:val="20"/>
          <w:szCs w:val="20"/>
        </w:rPr>
        <w:t>.Dna.G)</w:t>
      </w:r>
    </w:p>
    <w:p w:rsidR="00BD131F" w:rsidRDefault="00BD131F" w:rsidP="00BD131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gCount++;</w:t>
      </w:r>
    </w:p>
    <w:p w:rsidR="00BD131F" w:rsidRDefault="00BD131F" w:rsidP="00BD131F">
      <w:r>
        <w:rPr>
          <w:rFonts w:ascii="Courier New" w:hAnsi="Courier New" w:cs="Courier New"/>
          <w:noProof/>
          <w:sz w:val="20"/>
          <w:szCs w:val="20"/>
        </w:rPr>
        <w:t>}</w:t>
      </w:r>
    </w:p>
    <w:p w:rsidR="00BD131F" w:rsidRDefault="00BD131F" w:rsidP="00BD131F">
      <w:pPr>
        <w:pStyle w:val="Heading3"/>
      </w:pPr>
      <w:r>
        <w:t xml:space="preserve">Meta-data in </w:t>
      </w:r>
      <w:proofErr w:type="spellStart"/>
      <w:r>
        <w:t>ISequence</w:t>
      </w:r>
      <w:proofErr w:type="spellEnd"/>
    </w:p>
    <w:p w:rsidR="00BD131F" w:rsidRDefault="00FD4D5E" w:rsidP="00CC18D9">
      <w:r>
        <w:t>Each sequence object holds some commonly used meta-data fields. These include:</w:t>
      </w:r>
    </w:p>
    <w:tbl>
      <w:tblPr>
        <w:tblStyle w:val="MediumShading1-Accent1"/>
        <w:tblW w:w="0" w:type="auto"/>
        <w:tblLook w:val="04A0" w:firstRow="1" w:lastRow="0" w:firstColumn="1" w:lastColumn="0" w:noHBand="0" w:noVBand="1"/>
      </w:tblPr>
      <w:tblGrid>
        <w:gridCol w:w="2358"/>
        <w:gridCol w:w="7218"/>
      </w:tblGrid>
      <w:tr w:rsidR="00FD4D5E" w:rsidTr="00FD4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4D5E" w:rsidRDefault="00FD4D5E" w:rsidP="00CC18D9">
            <w:r>
              <w:t>Field Name</w:t>
            </w:r>
          </w:p>
        </w:tc>
        <w:tc>
          <w:tcPr>
            <w:tcW w:w="7218" w:type="dxa"/>
          </w:tcPr>
          <w:p w:rsidR="00FD4D5E" w:rsidRDefault="00FD4D5E" w:rsidP="00CC18D9">
            <w:pPr>
              <w:cnfStyle w:val="100000000000" w:firstRow="1" w:lastRow="0" w:firstColumn="0" w:lastColumn="0" w:oddVBand="0" w:evenVBand="0" w:oddHBand="0" w:evenHBand="0" w:firstRowFirstColumn="0" w:firstRowLastColumn="0" w:lastRowFirstColumn="0" w:lastRowLastColumn="0"/>
            </w:pPr>
            <w:r>
              <w:t>Description</w:t>
            </w:r>
          </w:p>
        </w:tc>
      </w:tr>
      <w:tr w:rsidR="00FD4D5E" w:rsidTr="00FD4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4D5E" w:rsidRDefault="00FD4D5E" w:rsidP="00CC18D9">
            <w:r>
              <w:t>ID</w:t>
            </w:r>
          </w:p>
        </w:tc>
        <w:tc>
          <w:tcPr>
            <w:tcW w:w="7218" w:type="dxa"/>
          </w:tcPr>
          <w:p w:rsidR="00FD4D5E" w:rsidRDefault="00FD4D5E" w:rsidP="00CC18D9">
            <w:pPr>
              <w:cnfStyle w:val="000000100000" w:firstRow="0" w:lastRow="0" w:firstColumn="0" w:lastColumn="0" w:oddVBand="0" w:evenVBand="0" w:oddHBand="1" w:evenHBand="0" w:firstRowFirstColumn="0" w:firstRowLastColumn="0" w:lastRowFirstColumn="0" w:lastRowLastColumn="0"/>
            </w:pPr>
            <w:r>
              <w:t>An identifier of the sequence, meant for internal programming usage</w:t>
            </w:r>
          </w:p>
        </w:tc>
      </w:tr>
      <w:tr w:rsidR="00FD4D5E" w:rsidTr="00FD4D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4D5E" w:rsidRDefault="00FD4D5E" w:rsidP="00CC18D9">
            <w:proofErr w:type="spellStart"/>
            <w:r>
              <w:t>DisplayID</w:t>
            </w:r>
            <w:proofErr w:type="spellEnd"/>
          </w:p>
        </w:tc>
        <w:tc>
          <w:tcPr>
            <w:tcW w:w="7218" w:type="dxa"/>
          </w:tcPr>
          <w:p w:rsidR="00FD4D5E" w:rsidRDefault="00FD4D5E" w:rsidP="00CC18D9">
            <w:pPr>
              <w:cnfStyle w:val="000000010000" w:firstRow="0" w:lastRow="0" w:firstColumn="0" w:lastColumn="0" w:oddVBand="0" w:evenVBand="0" w:oddHBand="0" w:evenHBand="1" w:firstRowFirstColumn="0" w:firstRowLastColumn="0" w:lastRowFirstColumn="0" w:lastRowLastColumn="0"/>
            </w:pPr>
            <w:r>
              <w:t>An identifier of the sequence that can be displayed to the end user</w:t>
            </w:r>
          </w:p>
        </w:tc>
      </w:tr>
      <w:tr w:rsidR="00FD4D5E" w:rsidTr="00FD4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4D5E" w:rsidRDefault="00FD4D5E" w:rsidP="00CC18D9">
            <w:proofErr w:type="spellStart"/>
            <w:r>
              <w:t>MoleculeType</w:t>
            </w:r>
            <w:proofErr w:type="spellEnd"/>
          </w:p>
        </w:tc>
        <w:tc>
          <w:tcPr>
            <w:tcW w:w="7218" w:type="dxa"/>
          </w:tcPr>
          <w:p w:rsidR="00FD4D5E" w:rsidRDefault="00FD4D5E" w:rsidP="00CC18D9">
            <w:pPr>
              <w:cnfStyle w:val="000000100000" w:firstRow="0" w:lastRow="0" w:firstColumn="0" w:lastColumn="0" w:oddVBand="0" w:evenVBand="0" w:oddHBand="1" w:evenHBand="0" w:firstRowFirstColumn="0" w:firstRowLastColumn="0" w:lastRowFirstColumn="0" w:lastRowLastColumn="0"/>
            </w:pPr>
            <w:r>
              <w:t xml:space="preserve">One of an enumeration of known types: DNA, Protein, mRNA, </w:t>
            </w:r>
            <w:proofErr w:type="spellStart"/>
            <w:r>
              <w:t>tRNA</w:t>
            </w:r>
            <w:proofErr w:type="spellEnd"/>
            <w:r>
              <w:t>, etc.</w:t>
            </w:r>
          </w:p>
        </w:tc>
      </w:tr>
      <w:tr w:rsidR="00FD4D5E" w:rsidTr="00FD4D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FD4D5E" w:rsidRDefault="00FD4D5E" w:rsidP="00CC18D9">
            <w:r>
              <w:t>Statistics</w:t>
            </w:r>
          </w:p>
        </w:tc>
        <w:tc>
          <w:tcPr>
            <w:tcW w:w="7218" w:type="dxa"/>
          </w:tcPr>
          <w:p w:rsidR="00FD4D5E" w:rsidRDefault="00FD4D5E" w:rsidP="00CC18D9">
            <w:pPr>
              <w:cnfStyle w:val="000000010000" w:firstRow="0" w:lastRow="0" w:firstColumn="0" w:lastColumn="0" w:oddVBand="0" w:evenVBand="0" w:oddHBand="0" w:evenHBand="1" w:firstRowFirstColumn="0" w:firstRowLastColumn="0" w:lastRowFirstColumn="0" w:lastRowLastColumn="0"/>
            </w:pPr>
            <w:r>
              <w:t>Information on the total counts of various sequence items in the sequence</w:t>
            </w:r>
          </w:p>
        </w:tc>
      </w:tr>
    </w:tbl>
    <w:p w:rsidR="00FD4D5E" w:rsidRDefault="00FD4D5E" w:rsidP="00CC18D9"/>
    <w:p w:rsidR="00FD4D5E" w:rsidRDefault="00FD4D5E" w:rsidP="00CC18D9">
      <w:r>
        <w:t xml:space="preserve">Each of these is accessed as a .Net property on the sequence class. The </w:t>
      </w:r>
      <w:proofErr w:type="spellStart"/>
      <w:r w:rsidRPr="000A2D05">
        <w:rPr>
          <w:rStyle w:val="CodeChar"/>
        </w:rPr>
        <w:t>ISequence</w:t>
      </w:r>
      <w:proofErr w:type="spellEnd"/>
      <w:r>
        <w:t xml:space="preserve"> interface definition only allows reading these properties, though individual implementations of the sequence may allow setting them as well.</w:t>
      </w:r>
    </w:p>
    <w:p w:rsidR="00FD4D5E" w:rsidRDefault="00FD4D5E" w:rsidP="00CC18D9">
      <w:r>
        <w:t xml:space="preserve">A generic dictionary is also available for meta-data that is not as commonly used, but may still be important to a particular application or sequence format. Data stored in this dictionary is accessed via a string key. Using the </w:t>
      </w:r>
      <w:r w:rsidRPr="000A2D05">
        <w:rPr>
          <w:rStyle w:val="CodeChar"/>
        </w:rPr>
        <w:t>Sequence</w:t>
      </w:r>
      <w:r>
        <w:t xml:space="preserve"> implementation you can also set items in this dictionary.</w:t>
      </w:r>
    </w:p>
    <w:p w:rsidR="00FD4D5E" w:rsidRDefault="00FD4D5E" w:rsidP="00CC18D9">
      <w:r>
        <w:t>For instance, if you know the sequence you are looking at was found from a particular paper citation you can set that using:</w:t>
      </w:r>
    </w:p>
    <w:p w:rsidR="00FD4D5E" w:rsidRDefault="00FD4D5E" w:rsidP="00FD4D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 xml:space="preserve">.Dna, </w:t>
      </w:r>
      <w:r>
        <w:rPr>
          <w:rFonts w:ascii="Courier New" w:hAnsi="Courier New" w:cs="Courier New"/>
          <w:noProof/>
          <w:color w:val="A31515"/>
          <w:sz w:val="20"/>
          <w:szCs w:val="20"/>
        </w:rPr>
        <w:t>"GATTAGC"</w:t>
      </w:r>
      <w:r>
        <w:rPr>
          <w:rFonts w:ascii="Courier New" w:hAnsi="Courier New" w:cs="Courier New"/>
          <w:noProof/>
          <w:sz w:val="20"/>
          <w:szCs w:val="20"/>
        </w:rPr>
        <w:t>);</w:t>
      </w:r>
    </w:p>
    <w:p w:rsidR="00FD4D5E" w:rsidRDefault="00FD4D5E" w:rsidP="00FD4D5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mySequence.IsReadOnly = </w:t>
      </w:r>
      <w:r>
        <w:rPr>
          <w:rFonts w:ascii="Courier New" w:hAnsi="Courier New" w:cs="Courier New"/>
          <w:noProof/>
          <w:color w:val="0000FF"/>
          <w:sz w:val="20"/>
          <w:szCs w:val="20"/>
        </w:rPr>
        <w:t>false</w:t>
      </w:r>
      <w:r>
        <w:rPr>
          <w:rFonts w:ascii="Courier New" w:hAnsi="Courier New" w:cs="Courier New"/>
          <w:noProof/>
          <w:sz w:val="20"/>
          <w:szCs w:val="20"/>
        </w:rPr>
        <w:t>;</w:t>
      </w:r>
    </w:p>
    <w:p w:rsidR="00FD4D5E" w:rsidRDefault="00FD4D5E" w:rsidP="00FD4D5E">
      <w:pPr>
        <w:rPr>
          <w:rFonts w:ascii="Courier New" w:hAnsi="Courier New" w:cs="Courier New"/>
          <w:noProof/>
          <w:sz w:val="20"/>
          <w:szCs w:val="20"/>
        </w:rPr>
      </w:pPr>
      <w:r>
        <w:rPr>
          <w:rFonts w:ascii="Courier New" w:hAnsi="Courier New" w:cs="Courier New"/>
          <w:noProof/>
          <w:sz w:val="20"/>
          <w:szCs w:val="20"/>
        </w:rPr>
        <w:t>mySequence.Metadata[</w:t>
      </w:r>
      <w:r>
        <w:rPr>
          <w:rFonts w:ascii="Courier New" w:hAnsi="Courier New" w:cs="Courier New"/>
          <w:noProof/>
          <w:color w:val="A31515"/>
          <w:sz w:val="20"/>
          <w:szCs w:val="20"/>
        </w:rPr>
        <w:t>"Citation"</w:t>
      </w:r>
      <w:r>
        <w:rPr>
          <w:rFonts w:ascii="Courier New" w:hAnsi="Courier New" w:cs="Courier New"/>
          <w:noProof/>
          <w:sz w:val="20"/>
          <w:szCs w:val="20"/>
        </w:rPr>
        <w:t xml:space="preserve">] = </w:t>
      </w:r>
      <w:r>
        <w:rPr>
          <w:rFonts w:ascii="Courier New" w:hAnsi="Courier New" w:cs="Courier New"/>
          <w:noProof/>
          <w:color w:val="A31515"/>
          <w:sz w:val="20"/>
          <w:szCs w:val="20"/>
        </w:rPr>
        <w:t>"ABCs of Bio, Vol. 3"</w:t>
      </w:r>
      <w:r>
        <w:rPr>
          <w:rFonts w:ascii="Courier New" w:hAnsi="Courier New" w:cs="Courier New"/>
          <w:noProof/>
          <w:sz w:val="20"/>
          <w:szCs w:val="20"/>
        </w:rPr>
        <w:t>;</w:t>
      </w:r>
    </w:p>
    <w:p w:rsidR="00FD4D5E" w:rsidRDefault="00FD4D5E" w:rsidP="00FD4D5E">
      <w:r>
        <w:t>To access the field at any time, you can call:</w:t>
      </w:r>
    </w:p>
    <w:p w:rsidR="00FD4D5E" w:rsidRDefault="00FD4D5E" w:rsidP="00FD4D5E">
      <w:r>
        <w:rPr>
          <w:rFonts w:ascii="Courier New" w:hAnsi="Courier New" w:cs="Courier New"/>
          <w:noProof/>
          <w:color w:val="0000FF"/>
          <w:sz w:val="20"/>
          <w:szCs w:val="20"/>
        </w:rPr>
        <w:t>string</w:t>
      </w:r>
      <w:r>
        <w:rPr>
          <w:rFonts w:ascii="Courier New" w:hAnsi="Courier New" w:cs="Courier New"/>
          <w:noProof/>
          <w:sz w:val="20"/>
          <w:szCs w:val="20"/>
        </w:rPr>
        <w:t xml:space="preserve"> citation = (</w:t>
      </w:r>
      <w:r>
        <w:rPr>
          <w:rFonts w:ascii="Courier New" w:hAnsi="Courier New" w:cs="Courier New"/>
          <w:noProof/>
          <w:color w:val="0000FF"/>
          <w:sz w:val="20"/>
          <w:szCs w:val="20"/>
        </w:rPr>
        <w:t>string</w:t>
      </w:r>
      <w:r>
        <w:rPr>
          <w:rFonts w:ascii="Courier New" w:hAnsi="Courier New" w:cs="Courier New"/>
          <w:noProof/>
          <w:sz w:val="20"/>
          <w:szCs w:val="20"/>
        </w:rPr>
        <w:t>)mySequence[</w:t>
      </w:r>
      <w:r>
        <w:rPr>
          <w:rFonts w:ascii="Courier New" w:hAnsi="Courier New" w:cs="Courier New"/>
          <w:noProof/>
          <w:color w:val="A31515"/>
          <w:sz w:val="20"/>
          <w:szCs w:val="20"/>
        </w:rPr>
        <w:t>"Citation"</w:t>
      </w:r>
      <w:r>
        <w:rPr>
          <w:rFonts w:ascii="Courier New" w:hAnsi="Courier New" w:cs="Courier New"/>
          <w:noProof/>
          <w:sz w:val="20"/>
          <w:szCs w:val="20"/>
        </w:rPr>
        <w:t>];</w:t>
      </w:r>
    </w:p>
    <w:p w:rsidR="00FD4D5E" w:rsidRDefault="00FD4D5E" w:rsidP="00FD4D5E">
      <w:r>
        <w:t xml:space="preserve">The cast is necessary because all of the values in the </w:t>
      </w:r>
      <w:r w:rsidRPr="000A2D05">
        <w:rPr>
          <w:rStyle w:val="CodeChar"/>
        </w:rPr>
        <w:t>Metadata</w:t>
      </w:r>
      <w:r>
        <w:t xml:space="preserve"> dictionary are stored as type object.</w:t>
      </w:r>
    </w:p>
    <w:p w:rsidR="00FD4D5E" w:rsidRDefault="00061CC1" w:rsidP="00FD4D5E">
      <w:r>
        <w:t>The various parsers may set their own meta-data in a reliable way, so be sure to consult the documentation of those parsers to be able to retrieve the data you are interested in.</w:t>
      </w:r>
    </w:p>
    <w:p w:rsidR="00061CC1" w:rsidRDefault="00061CC1" w:rsidP="00061CC1">
      <w:pPr>
        <w:pStyle w:val="Heading3"/>
      </w:pPr>
      <w:r>
        <w:lastRenderedPageBreak/>
        <w:t xml:space="preserve">Other </w:t>
      </w:r>
      <w:proofErr w:type="spellStart"/>
      <w:r>
        <w:t>ISequence</w:t>
      </w:r>
      <w:proofErr w:type="spellEnd"/>
      <w:r>
        <w:t xml:space="preserve"> Implementations (Advanced)</w:t>
      </w:r>
    </w:p>
    <w:p w:rsidR="00061CC1" w:rsidRDefault="00061CC1" w:rsidP="00FD4D5E">
      <w:r>
        <w:t xml:space="preserve">In addition to the standard </w:t>
      </w:r>
      <w:r w:rsidRPr="000A2D05">
        <w:rPr>
          <w:rStyle w:val="CodeChar"/>
        </w:rPr>
        <w:t>Sequence</w:t>
      </w:r>
      <w:r>
        <w:t xml:space="preserve"> implementation of </w:t>
      </w:r>
      <w:proofErr w:type="spellStart"/>
      <w:r w:rsidRPr="000A2D05">
        <w:rPr>
          <w:rStyle w:val="CodeChar"/>
        </w:rPr>
        <w:t>ISequence</w:t>
      </w:r>
      <w:proofErr w:type="spellEnd"/>
      <w:r>
        <w:t>, there are several other implementations included in the base library.</w:t>
      </w:r>
    </w:p>
    <w:p w:rsidR="00061CC1" w:rsidRDefault="00061CC1" w:rsidP="00061CC1">
      <w:pPr>
        <w:pStyle w:val="ListParagraph"/>
        <w:numPr>
          <w:ilvl w:val="0"/>
          <w:numId w:val="1"/>
        </w:numPr>
      </w:pPr>
      <w:proofErr w:type="spellStart"/>
      <w:r w:rsidRPr="00EA0DC3">
        <w:rPr>
          <w:b/>
        </w:rPr>
        <w:t>VirtualSequence</w:t>
      </w:r>
      <w:proofErr w:type="spellEnd"/>
      <w:r>
        <w:br/>
        <w:t>Allows access all of the meta-data fields of a sequence but does not allow the setting or retrieval of any sequence items. This is primarily used in applications where symbol data is not relevant, but annotations are.</w:t>
      </w:r>
    </w:p>
    <w:p w:rsidR="00061CC1" w:rsidRDefault="00061CC1" w:rsidP="00061CC1">
      <w:pPr>
        <w:pStyle w:val="ListParagraph"/>
        <w:numPr>
          <w:ilvl w:val="0"/>
          <w:numId w:val="1"/>
        </w:numPr>
      </w:pPr>
      <w:proofErr w:type="spellStart"/>
      <w:r w:rsidRPr="00EA0DC3">
        <w:rPr>
          <w:b/>
        </w:rPr>
        <w:t>SparseSequence</w:t>
      </w:r>
      <w:proofErr w:type="spellEnd"/>
      <w:r>
        <w:br/>
        <w:t xml:space="preserve">For use when the sequence data is quite large, but only a small number of the items in that data are relevant. The </w:t>
      </w:r>
      <w:proofErr w:type="spellStart"/>
      <w:r w:rsidRPr="000A2D05">
        <w:rPr>
          <w:rStyle w:val="CodeChar"/>
        </w:rPr>
        <w:t>SparseSequence</w:t>
      </w:r>
      <w:proofErr w:type="spellEnd"/>
      <w:r>
        <w:t xml:space="preserve"> stores its data in an indexed fashion, rather than as a list or array.</w:t>
      </w:r>
    </w:p>
    <w:p w:rsidR="00061CC1" w:rsidRDefault="00061CC1" w:rsidP="00061CC1">
      <w:pPr>
        <w:pStyle w:val="ListParagraph"/>
        <w:numPr>
          <w:ilvl w:val="0"/>
          <w:numId w:val="1"/>
        </w:numPr>
      </w:pPr>
      <w:proofErr w:type="spellStart"/>
      <w:r w:rsidRPr="00EA0DC3">
        <w:rPr>
          <w:b/>
        </w:rPr>
        <w:t>SegmentedSequence</w:t>
      </w:r>
      <w:proofErr w:type="spellEnd"/>
      <w:r>
        <w:br/>
        <w:t xml:space="preserve">A </w:t>
      </w:r>
      <w:proofErr w:type="spellStart"/>
      <w:r w:rsidRPr="000A2D05">
        <w:rPr>
          <w:rStyle w:val="CodeChar"/>
        </w:rPr>
        <w:t>SegmentedSequence</w:t>
      </w:r>
      <w:proofErr w:type="spellEnd"/>
      <w:r>
        <w:t xml:space="preserve"> is a sequence that is composed of several smaller sequences, one following another. This impl</w:t>
      </w:r>
      <w:r w:rsidR="00780B80">
        <w:t>ementation allows you to define</w:t>
      </w:r>
      <w:r>
        <w:t xml:space="preserve"> a larger sequence from smaller ones without having to duplicate the memory usage.</w:t>
      </w:r>
    </w:p>
    <w:p w:rsidR="00061CC1" w:rsidRDefault="00061CC1" w:rsidP="00061CC1">
      <w:pPr>
        <w:pStyle w:val="ListParagraph"/>
        <w:numPr>
          <w:ilvl w:val="0"/>
          <w:numId w:val="1"/>
        </w:numPr>
      </w:pPr>
      <w:proofErr w:type="spellStart"/>
      <w:r w:rsidRPr="00EA0DC3">
        <w:rPr>
          <w:b/>
        </w:rPr>
        <w:t>BasicDerivedSequence</w:t>
      </w:r>
      <w:proofErr w:type="spellEnd"/>
      <w:r>
        <w:br/>
        <w:t xml:space="preserve">An </w:t>
      </w:r>
      <w:proofErr w:type="spellStart"/>
      <w:r w:rsidRPr="000A2D05">
        <w:rPr>
          <w:rStyle w:val="CodeChar"/>
        </w:rPr>
        <w:t>IDerivedSequence</w:t>
      </w:r>
      <w:proofErr w:type="spellEnd"/>
      <w:r>
        <w:t xml:space="preserve"> is a sequence whose data mainly derives from a separate origin sequence but is modified in some way. With </w:t>
      </w:r>
      <w:proofErr w:type="spellStart"/>
      <w:r w:rsidRPr="000A2D05">
        <w:rPr>
          <w:rStyle w:val="CodeChar"/>
        </w:rPr>
        <w:t>BasicDerivedSequence</w:t>
      </w:r>
      <w:proofErr w:type="spellEnd"/>
      <w:r>
        <w:t xml:space="preserve"> you can access the complement or reversal of the source sequence without having to store the data in memory twice. Future implementations of </w:t>
      </w:r>
      <w:proofErr w:type="spellStart"/>
      <w:r w:rsidRPr="000A2D05">
        <w:rPr>
          <w:rStyle w:val="CodeChar"/>
        </w:rPr>
        <w:t>IDerivedSequence</w:t>
      </w:r>
      <w:proofErr w:type="spellEnd"/>
      <w:r>
        <w:t xml:space="preserve"> are planned.</w:t>
      </w:r>
    </w:p>
    <w:p w:rsidR="00061CC1" w:rsidRDefault="00061CC1" w:rsidP="007F4179">
      <w:pPr>
        <w:pStyle w:val="Heading3"/>
      </w:pPr>
      <w:r>
        <w:t>Sequence Encodings (Advanced)</w:t>
      </w:r>
    </w:p>
    <w:p w:rsidR="007F4179" w:rsidRDefault="007F4179" w:rsidP="00061CC1">
      <w:r>
        <w:t xml:space="preserve">In addition to storing an Alphabet which determines how to interpret symbols into </w:t>
      </w:r>
      <w:proofErr w:type="spellStart"/>
      <w:r w:rsidRPr="000A2D05">
        <w:rPr>
          <w:rStyle w:val="CodeChar"/>
        </w:rPr>
        <w:t>ISequenceItem</w:t>
      </w:r>
      <w:proofErr w:type="spellEnd"/>
      <w:r>
        <w:t xml:space="preserve"> instances, the </w:t>
      </w:r>
      <w:r w:rsidRPr="000A2D05">
        <w:rPr>
          <w:rStyle w:val="CodeChar"/>
        </w:rPr>
        <w:t>Sequence</w:t>
      </w:r>
      <w:r>
        <w:t xml:space="preserve"> class also stores an Encoding which is settable by the user. Internally each </w:t>
      </w:r>
      <w:proofErr w:type="spellStart"/>
      <w:r w:rsidRPr="000A2D05">
        <w:rPr>
          <w:rStyle w:val="CodeChar"/>
        </w:rPr>
        <w:t>SequenceItem</w:t>
      </w:r>
      <w:proofErr w:type="spellEnd"/>
      <w:r>
        <w:t xml:space="preserve"> is not stored as a character from a string but as a number (usually as a single byte). Alphabets and Encodings have a many-to-many relationship.</w:t>
      </w:r>
    </w:p>
    <w:p w:rsidR="002F36F9" w:rsidRDefault="007F4179" w:rsidP="00061CC1">
      <w:r>
        <w:t xml:space="preserve">If you want to change an encoding, it is best to consult the documentation to find out which alphabets and encodings are compatible. This compatibility can also be found in the </w:t>
      </w:r>
      <w:proofErr w:type="spellStart"/>
      <w:r w:rsidRPr="000A2D05">
        <w:rPr>
          <w:rStyle w:val="CodeChar"/>
        </w:rPr>
        <w:t>EncodingMap</w:t>
      </w:r>
      <w:proofErr w:type="spellEnd"/>
      <w:r>
        <w:t xml:space="preserve"> class.</w:t>
      </w:r>
    </w:p>
    <w:p w:rsidR="007F4179" w:rsidRDefault="007F4179" w:rsidP="00061CC1">
      <w:r>
        <w:t xml:space="preserve">By default a standard encoding is set for you when you set the </w:t>
      </w:r>
      <w:r w:rsidRPr="000A2D05">
        <w:rPr>
          <w:rStyle w:val="CodeChar"/>
        </w:rPr>
        <w:t>Alphabet</w:t>
      </w:r>
      <w:r>
        <w:t xml:space="preserve"> of the </w:t>
      </w:r>
      <w:r w:rsidRPr="000A2D05">
        <w:rPr>
          <w:rStyle w:val="CodeChar"/>
        </w:rPr>
        <w:t>Sequence</w:t>
      </w:r>
      <w:r>
        <w:t xml:space="preserve">. You can set the Encoding at construction of the </w:t>
      </w:r>
      <w:r w:rsidRPr="000A2D05">
        <w:rPr>
          <w:rStyle w:val="CodeChar"/>
        </w:rPr>
        <w:t>Sequence</w:t>
      </w:r>
      <w:r>
        <w:t xml:space="preserve"> as well. Some encodings are able to better compress their data than others (usually at the loss of support for some of the symbols in the </w:t>
      </w:r>
      <w:r w:rsidRPr="000A2D05">
        <w:rPr>
          <w:rStyle w:val="CodeChar"/>
        </w:rPr>
        <w:t>Alphabet</w:t>
      </w:r>
      <w:r>
        <w:t xml:space="preserve">). For more information see the API documentation in the constructors for the </w:t>
      </w:r>
      <w:r w:rsidRPr="000A2D05">
        <w:rPr>
          <w:rStyle w:val="CodeChar"/>
        </w:rPr>
        <w:t>Sequence</w:t>
      </w:r>
      <w:r>
        <w:t xml:space="preserve"> class.</w:t>
      </w:r>
    </w:p>
    <w:p w:rsidR="00D471D6" w:rsidRDefault="00D471D6" w:rsidP="00D471D6">
      <w:pPr>
        <w:pStyle w:val="Heading1"/>
      </w:pPr>
      <w:r>
        <w:t>Parsers and Formatters</w:t>
      </w:r>
    </w:p>
    <w:p w:rsidR="00D471D6" w:rsidRDefault="00BC7A87" w:rsidP="00061CC1">
      <w:r>
        <w:t>Parser implementations are used to create data Bio model objects from files that have been formatted according to some well-defined file format. Formatters work in the other direction, converting model objects back in to a file format.</w:t>
      </w:r>
    </w:p>
    <w:p w:rsidR="00BC7A87" w:rsidRDefault="00BC7A87" w:rsidP="00061CC1">
      <w:r>
        <w:lastRenderedPageBreak/>
        <w:t xml:space="preserve">Parsers that parse sequences derive from the </w:t>
      </w:r>
      <w:proofErr w:type="spellStart"/>
      <w:r w:rsidRPr="000A2D05">
        <w:rPr>
          <w:rStyle w:val="CodeChar"/>
        </w:rPr>
        <w:t>ISequenceParser</w:t>
      </w:r>
      <w:proofErr w:type="spellEnd"/>
      <w:r>
        <w:t xml:space="preserve"> interface. This interface can be found in the Bio.IO namespace. Particular implementations will be found in their own sub-namespace. For instance the </w:t>
      </w:r>
      <w:proofErr w:type="spellStart"/>
      <w:r w:rsidRPr="000A2D05">
        <w:rPr>
          <w:rStyle w:val="CodeChar"/>
        </w:rPr>
        <w:t>GenBankParser</w:t>
      </w:r>
      <w:proofErr w:type="spellEnd"/>
      <w:r>
        <w:t xml:space="preserve"> is found in namespace </w:t>
      </w:r>
      <w:proofErr w:type="spellStart"/>
      <w:r w:rsidRPr="000A2D05">
        <w:rPr>
          <w:rStyle w:val="CodeChar"/>
        </w:rPr>
        <w:t>Bio.IO.GenBank</w:t>
      </w:r>
      <w:proofErr w:type="spellEnd"/>
      <w:r>
        <w:t>.</w:t>
      </w:r>
    </w:p>
    <w:p w:rsidR="00BC7A87" w:rsidRDefault="00BC7A87" w:rsidP="00061CC1">
      <w:r>
        <w:t xml:space="preserve">To parse a </w:t>
      </w:r>
      <w:proofErr w:type="spellStart"/>
      <w:r w:rsidRPr="000A2D05">
        <w:rPr>
          <w:rStyle w:val="CodeChar"/>
        </w:rPr>
        <w:t>GenBank</w:t>
      </w:r>
      <w:proofErr w:type="spellEnd"/>
      <w:r>
        <w:t xml:space="preserve"> formatted file:</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GenBankParser</w:t>
      </w:r>
      <w:r>
        <w:rPr>
          <w:rFonts w:ascii="Courier New" w:hAnsi="Courier New" w:cs="Courier New"/>
          <w:noProof/>
          <w:sz w:val="20"/>
          <w:szCs w:val="20"/>
        </w:rPr>
        <w:t xml:space="preserve"> parser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GenBankParser</w:t>
      </w:r>
      <w:r>
        <w:rPr>
          <w:rFonts w:ascii="Courier New" w:hAnsi="Courier New" w:cs="Courier New"/>
          <w:noProof/>
          <w:sz w:val="20"/>
          <w:szCs w:val="20"/>
        </w:rPr>
        <w:t>();</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filePath = </w:t>
      </w:r>
      <w:r>
        <w:rPr>
          <w:rFonts w:ascii="Courier New" w:hAnsi="Courier New" w:cs="Courier New"/>
          <w:noProof/>
          <w:color w:val="A31515"/>
          <w:sz w:val="20"/>
          <w:szCs w:val="20"/>
        </w:rPr>
        <w:t>@"C:\SomeDirectory\SomeGenBankFile.gbk"</w:t>
      </w:r>
      <w:r>
        <w:rPr>
          <w:rFonts w:ascii="Courier New" w:hAnsi="Courier New" w:cs="Courier New"/>
          <w:noProof/>
          <w:sz w:val="20"/>
          <w:szCs w:val="20"/>
        </w:rPr>
        <w:t>;</w:t>
      </w:r>
    </w:p>
    <w:p w:rsidR="00BC7A87" w:rsidRDefault="00BC7A87" w:rsidP="00BC7A87">
      <w:pPr>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ISequence</w:t>
      </w:r>
      <w:r>
        <w:rPr>
          <w:rFonts w:ascii="Courier New" w:hAnsi="Courier New" w:cs="Courier New"/>
          <w:noProof/>
          <w:sz w:val="20"/>
          <w:szCs w:val="20"/>
        </w:rPr>
        <w:t>&gt; sequences = parser.Parse(filePath);</w:t>
      </w:r>
    </w:p>
    <w:p w:rsidR="00BC7A87" w:rsidRDefault="00BC7A87" w:rsidP="00BC7A87">
      <w:r>
        <w:t>You can use similar code for the other supported file formats. If you do not know the format ahead of time, the code library can also try to discover it for you, though this may not work 100% of the time:</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filePath = </w:t>
      </w:r>
      <w:r>
        <w:rPr>
          <w:rFonts w:ascii="Courier New" w:hAnsi="Courier New" w:cs="Courier New"/>
          <w:noProof/>
          <w:color w:val="A31515"/>
          <w:sz w:val="20"/>
          <w:szCs w:val="20"/>
        </w:rPr>
        <w:t>@"C:\SomeDirectory\SomeGenBankFile.gbk"</w:t>
      </w:r>
      <w:r>
        <w:rPr>
          <w:rFonts w:ascii="Courier New" w:hAnsi="Courier New" w:cs="Courier New"/>
          <w:noProof/>
          <w:sz w:val="20"/>
          <w:szCs w:val="20"/>
        </w:rPr>
        <w:t>;</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ISequenceParser</w:t>
      </w:r>
      <w:r>
        <w:rPr>
          <w:rFonts w:ascii="Courier New" w:hAnsi="Courier New" w:cs="Courier New"/>
          <w:noProof/>
          <w:sz w:val="20"/>
          <w:szCs w:val="20"/>
        </w:rPr>
        <w:t xml:space="preserve"> parser = </w:t>
      </w:r>
      <w:r>
        <w:rPr>
          <w:rFonts w:ascii="Courier New" w:hAnsi="Courier New" w:cs="Courier New"/>
          <w:noProof/>
          <w:color w:val="2B91AF"/>
          <w:sz w:val="20"/>
          <w:szCs w:val="20"/>
        </w:rPr>
        <w:t>SequenceParsers</w:t>
      </w:r>
      <w:r>
        <w:rPr>
          <w:rFonts w:ascii="Courier New" w:hAnsi="Courier New" w:cs="Courier New"/>
          <w:noProof/>
          <w:sz w:val="20"/>
          <w:szCs w:val="20"/>
        </w:rPr>
        <w:t>.FindParserByFile(filePath);</w:t>
      </w:r>
    </w:p>
    <w:p w:rsidR="00BC7A87" w:rsidRDefault="00BC7A87" w:rsidP="00BC7A87">
      <w:pPr>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ISequence</w:t>
      </w:r>
      <w:r>
        <w:rPr>
          <w:rFonts w:ascii="Courier New" w:hAnsi="Courier New" w:cs="Courier New"/>
          <w:noProof/>
          <w:sz w:val="20"/>
          <w:szCs w:val="20"/>
        </w:rPr>
        <w:t>&gt; sequences = parser.Parse(filePath);</w:t>
      </w:r>
    </w:p>
    <w:p w:rsidR="00BC7A87" w:rsidRDefault="00BC7A87" w:rsidP="00BC7A87">
      <w:r>
        <w:t>To format your sequence from a data object:</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filePath = </w:t>
      </w:r>
      <w:r>
        <w:rPr>
          <w:rFonts w:ascii="Courier New" w:hAnsi="Courier New" w:cs="Courier New"/>
          <w:noProof/>
          <w:color w:val="A31515"/>
          <w:sz w:val="20"/>
          <w:szCs w:val="20"/>
        </w:rPr>
        <w:t>@"C:\SomeDirectory\SomeGenBankFile.gbk"</w:t>
      </w:r>
      <w:r>
        <w:rPr>
          <w:rFonts w:ascii="Courier New" w:hAnsi="Courier New" w:cs="Courier New"/>
          <w:noProof/>
          <w:sz w:val="20"/>
          <w:szCs w:val="20"/>
        </w:rPr>
        <w:t>;</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GenBankFormatter</w:t>
      </w:r>
      <w:r>
        <w:rPr>
          <w:rFonts w:ascii="Courier New" w:hAnsi="Courier New" w:cs="Courier New"/>
          <w:noProof/>
          <w:sz w:val="20"/>
          <w:szCs w:val="20"/>
        </w:rPr>
        <w:t xml:space="preserve"> formatter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GenBankFormatter</w:t>
      </w:r>
      <w:r>
        <w:rPr>
          <w:rFonts w:ascii="Courier New" w:hAnsi="Courier New" w:cs="Courier New"/>
          <w:noProof/>
          <w:sz w:val="20"/>
          <w:szCs w:val="20"/>
        </w:rPr>
        <w:t>();</w:t>
      </w:r>
    </w:p>
    <w:p w:rsidR="00BC7A87" w:rsidRDefault="00BC7A87" w:rsidP="00BC7A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Sequence</w:t>
      </w:r>
      <w:r>
        <w:rPr>
          <w:rFonts w:ascii="Courier New" w:hAnsi="Courier New" w:cs="Courier New"/>
          <w:noProof/>
          <w:sz w:val="20"/>
          <w:szCs w:val="20"/>
        </w:rPr>
        <w:t xml:space="preserve"> mySequence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 xml:space="preserve">.Dna, </w:t>
      </w:r>
      <w:r>
        <w:rPr>
          <w:rFonts w:ascii="Courier New" w:hAnsi="Courier New" w:cs="Courier New"/>
          <w:noProof/>
          <w:color w:val="A31515"/>
          <w:sz w:val="20"/>
          <w:szCs w:val="20"/>
        </w:rPr>
        <w:t>"GATTTAAACC"</w:t>
      </w:r>
      <w:r>
        <w:rPr>
          <w:rFonts w:ascii="Courier New" w:hAnsi="Courier New" w:cs="Courier New"/>
          <w:noProof/>
          <w:sz w:val="20"/>
          <w:szCs w:val="20"/>
        </w:rPr>
        <w:t>);</w:t>
      </w:r>
    </w:p>
    <w:p w:rsidR="00BC7A87" w:rsidRDefault="00BC7A87" w:rsidP="00BC7A87">
      <w:pPr>
        <w:rPr>
          <w:rFonts w:ascii="Courier New" w:hAnsi="Courier New" w:cs="Courier New"/>
          <w:noProof/>
          <w:sz w:val="20"/>
          <w:szCs w:val="20"/>
        </w:rPr>
      </w:pPr>
      <w:r>
        <w:rPr>
          <w:rFonts w:ascii="Courier New" w:hAnsi="Courier New" w:cs="Courier New"/>
          <w:noProof/>
          <w:sz w:val="20"/>
          <w:szCs w:val="20"/>
        </w:rPr>
        <w:t>formatter.Format(mySequence, filePath);</w:t>
      </w:r>
    </w:p>
    <w:p w:rsidR="00BC7A87" w:rsidRDefault="00EA0DC3" w:rsidP="00EA0DC3">
      <w:pPr>
        <w:pStyle w:val="Heading1"/>
      </w:pPr>
      <w:r>
        <w:t>Algorithms</w:t>
      </w:r>
    </w:p>
    <w:p w:rsidR="00EA0DC3" w:rsidRDefault="00EA0DC3" w:rsidP="00BC7A87">
      <w:r>
        <w:t xml:space="preserve">Algorithms that work with sequences and other biological structures modeled in the Bio code library can take many shapes and support many different scenarios. In general methods for manipulating data objects (e.g. aligning two sequences) or performing analysis are found in the </w:t>
      </w:r>
      <w:proofErr w:type="spellStart"/>
      <w:r w:rsidRPr="000A2D05">
        <w:rPr>
          <w:rStyle w:val="CodeChar"/>
        </w:rPr>
        <w:t>Bio.Algorithms</w:t>
      </w:r>
      <w:proofErr w:type="spellEnd"/>
      <w:r>
        <w:t xml:space="preserve"> namespace. This is a growing area for the Bio .Net code libraries, and many useful features will continue to be added to this space.</w:t>
      </w:r>
    </w:p>
    <w:p w:rsidR="00EA0DC3" w:rsidRDefault="00EA0DC3" w:rsidP="00BC7A87">
      <w:r>
        <w:t>For details on specific algorithms, please consult the API documentation.</w:t>
      </w:r>
    </w:p>
    <w:p w:rsidR="00EA0DC3" w:rsidRDefault="00EA0DC3" w:rsidP="00EA0DC3">
      <w:pPr>
        <w:pStyle w:val="Heading1"/>
      </w:pPr>
      <w:r>
        <w:t>Web Services</w:t>
      </w:r>
    </w:p>
    <w:p w:rsidR="00EA0DC3" w:rsidRDefault="00E05601" w:rsidP="00BC7A87">
      <w:r>
        <w:t xml:space="preserve">Web service calls are found in the </w:t>
      </w:r>
      <w:proofErr w:type="spellStart"/>
      <w:r>
        <w:t>Bio.Web</w:t>
      </w:r>
      <w:proofErr w:type="spellEnd"/>
      <w:r>
        <w:t xml:space="preserve"> namespace. Each web service implements an interface called </w:t>
      </w:r>
      <w:proofErr w:type="spellStart"/>
      <w:r>
        <w:t>IWebService</w:t>
      </w:r>
      <w:proofErr w:type="spellEnd"/>
      <w:r>
        <w:t xml:space="preserve"> and while making a call to each web service implementation is done in a similar way in the Bio .Net libraries, the services themselves are all a little different.</w:t>
      </w:r>
    </w:p>
    <w:p w:rsidR="00E05601" w:rsidRDefault="00E05601" w:rsidP="00BC7A87">
      <w:r>
        <w:t>One of the most common web services in the bioinformatics space is BLAST. There are several implementations of BLAST. In these libraries we provide access to NCBI’s QBLAST as well as EBI’s Wu-BLAST. As with most other web services, to call a BLAST web service you need to follow these steps:</w:t>
      </w:r>
    </w:p>
    <w:p w:rsidR="00E05601" w:rsidRDefault="00E05601" w:rsidP="00E05601">
      <w:pPr>
        <w:pStyle w:val="ListParagraph"/>
        <w:numPr>
          <w:ilvl w:val="0"/>
          <w:numId w:val="2"/>
        </w:numPr>
      </w:pPr>
      <w:r>
        <w:t>Configure your web service request with the appropriate parameters for that service.</w:t>
      </w:r>
    </w:p>
    <w:p w:rsidR="00E05601" w:rsidRDefault="00E05601" w:rsidP="00E05601">
      <w:pPr>
        <w:pStyle w:val="ListParagraph"/>
        <w:numPr>
          <w:ilvl w:val="0"/>
          <w:numId w:val="2"/>
        </w:numPr>
      </w:pPr>
      <w:r>
        <w:t>Make the web service call (this can be done synchronously or asynchronously).</w:t>
      </w:r>
    </w:p>
    <w:p w:rsidR="00E05601" w:rsidRDefault="00E05601" w:rsidP="00E05601">
      <w:pPr>
        <w:pStyle w:val="ListParagraph"/>
        <w:numPr>
          <w:ilvl w:val="0"/>
          <w:numId w:val="2"/>
        </w:numPr>
      </w:pPr>
      <w:r>
        <w:t>Optionally query the status of the service while it is running.</w:t>
      </w:r>
    </w:p>
    <w:p w:rsidR="00E05601" w:rsidRDefault="00E05601" w:rsidP="00E05601">
      <w:pPr>
        <w:pStyle w:val="ListParagraph"/>
        <w:numPr>
          <w:ilvl w:val="0"/>
          <w:numId w:val="2"/>
        </w:numPr>
      </w:pPr>
      <w:r>
        <w:t>Wait for and retrieve the result.</w:t>
      </w:r>
    </w:p>
    <w:p w:rsidR="00E05601" w:rsidRDefault="00E05601" w:rsidP="00E05601">
      <w:r>
        <w:lastRenderedPageBreak/>
        <w:t>These steps can be illustrated in the following example, which call’s into NCBI QBLAST:</w:t>
      </w:r>
    </w:p>
    <w:p w:rsidR="00E05601" w:rsidRPr="00E05601" w:rsidRDefault="00E05601"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rPr>
        <w:t>Configure the service request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NcbiQBlast</w:t>
      </w:r>
      <w:r>
        <w:rPr>
          <w:rFonts w:ascii="Courier New" w:hAnsi="Courier New" w:cs="Courier New"/>
          <w:noProof/>
          <w:sz w:val="20"/>
          <w:szCs w:val="20"/>
        </w:rPr>
        <w:t xml:space="preserve"> service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NcbiQBlast</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ConfigParameters</w:t>
      </w:r>
      <w:r>
        <w:rPr>
          <w:rFonts w:ascii="Courier New" w:hAnsi="Courier New" w:cs="Courier New"/>
          <w:noProof/>
          <w:sz w:val="20"/>
          <w:szCs w:val="20"/>
        </w:rPr>
        <w:t xml:space="preserve"> configParams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ConfigParameters</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configParams.UseBrowserProxy = </w:t>
      </w:r>
      <w:r>
        <w:rPr>
          <w:rFonts w:ascii="Courier New" w:hAnsi="Courier New" w:cs="Courier New"/>
          <w:noProof/>
          <w:color w:val="0000FF"/>
          <w:sz w:val="20"/>
          <w:szCs w:val="20"/>
        </w:rPr>
        <w:t>true</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service.ConfigurationParameters = configParams;</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NcbiBlastParameters</w:t>
      </w:r>
      <w:r>
        <w:rPr>
          <w:rFonts w:ascii="Courier New" w:hAnsi="Courier New" w:cs="Courier New"/>
          <w:noProof/>
          <w:sz w:val="20"/>
          <w:szCs w:val="20"/>
        </w:rPr>
        <w:t xml:space="preserve"> searchParams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NcbiBlastParameters</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color w:val="008000"/>
          <w:sz w:val="20"/>
          <w:szCs w:val="20"/>
        </w:rPr>
      </w:pP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Fill in the BLAST settings</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searchParams.Add(</w:t>
      </w:r>
      <w:r>
        <w:rPr>
          <w:rFonts w:ascii="Courier New" w:hAnsi="Courier New" w:cs="Courier New"/>
          <w:noProof/>
          <w:color w:val="A31515"/>
          <w:sz w:val="20"/>
          <w:szCs w:val="20"/>
        </w:rPr>
        <w:t>"Program"</w:t>
      </w:r>
      <w:r>
        <w:rPr>
          <w:rFonts w:ascii="Courier New" w:hAnsi="Courier New" w:cs="Courier New"/>
          <w:noProof/>
          <w:sz w:val="20"/>
          <w:szCs w:val="20"/>
        </w:rPr>
        <w:t xml:space="preserve">, </w:t>
      </w:r>
      <w:r>
        <w:rPr>
          <w:rFonts w:ascii="Courier New" w:hAnsi="Courier New" w:cs="Courier New"/>
          <w:noProof/>
          <w:color w:val="A31515"/>
          <w:sz w:val="20"/>
          <w:szCs w:val="20"/>
        </w:rPr>
        <w:t>"blastp"</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searchParams.Add(</w:t>
      </w:r>
      <w:r>
        <w:rPr>
          <w:rFonts w:ascii="Courier New" w:hAnsi="Courier New" w:cs="Courier New"/>
          <w:noProof/>
          <w:color w:val="A31515"/>
          <w:sz w:val="20"/>
          <w:szCs w:val="20"/>
        </w:rPr>
        <w:t>"Database"</w:t>
      </w:r>
      <w:r>
        <w:rPr>
          <w:rFonts w:ascii="Courier New" w:hAnsi="Courier New" w:cs="Courier New"/>
          <w:noProof/>
          <w:sz w:val="20"/>
          <w:szCs w:val="20"/>
        </w:rPr>
        <w:t xml:space="preserve">, </w:t>
      </w:r>
      <w:r>
        <w:rPr>
          <w:rFonts w:ascii="Courier New" w:hAnsi="Courier New" w:cs="Courier New"/>
          <w:noProof/>
          <w:color w:val="A31515"/>
          <w:sz w:val="20"/>
          <w:szCs w:val="20"/>
        </w:rPr>
        <w:t>"swissprot"</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searchParams.Add(</w:t>
      </w:r>
      <w:r>
        <w:rPr>
          <w:rFonts w:ascii="Courier New" w:hAnsi="Courier New" w:cs="Courier New"/>
          <w:noProof/>
          <w:color w:val="A31515"/>
          <w:sz w:val="20"/>
          <w:szCs w:val="20"/>
        </w:rPr>
        <w:t>"Expect"</w:t>
      </w:r>
      <w:r>
        <w:rPr>
          <w:rFonts w:ascii="Courier New" w:hAnsi="Courier New" w:cs="Courier New"/>
          <w:noProof/>
          <w:sz w:val="20"/>
          <w:szCs w:val="20"/>
        </w:rPr>
        <w:t xml:space="preserve">, </w:t>
      </w:r>
      <w:r>
        <w:rPr>
          <w:rFonts w:ascii="Courier New" w:hAnsi="Courier New" w:cs="Courier New"/>
          <w:noProof/>
          <w:color w:val="A31515"/>
          <w:sz w:val="20"/>
          <w:szCs w:val="20"/>
        </w:rPr>
        <w:t>"1e-10"</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searchParams.Add(</w:t>
      </w:r>
      <w:r>
        <w:rPr>
          <w:rFonts w:ascii="Courier New" w:hAnsi="Courier New" w:cs="Courier New"/>
          <w:noProof/>
          <w:color w:val="A31515"/>
          <w:sz w:val="20"/>
          <w:szCs w:val="20"/>
        </w:rPr>
        <w:t>"CompositionBasedStatistics"</w:t>
      </w:r>
      <w:r>
        <w:rPr>
          <w:rFonts w:ascii="Courier New" w:hAnsi="Courier New" w:cs="Courier New"/>
          <w:noProof/>
          <w:sz w:val="20"/>
          <w:szCs w:val="20"/>
        </w:rPr>
        <w:t xml:space="preserve">, </w:t>
      </w:r>
      <w:r>
        <w:rPr>
          <w:rFonts w:ascii="Courier New" w:hAnsi="Courier New" w:cs="Courier New"/>
          <w:noProof/>
          <w:color w:val="A31515"/>
          <w:sz w:val="20"/>
          <w:szCs w:val="20"/>
        </w:rPr>
        <w:t>"0"</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service.ServiceParameters = searchParams;</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E05601"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w:t>
      </w:r>
      <w:r>
        <w:rPr>
          <w:rFonts w:ascii="Courier New" w:hAnsi="Courier New" w:cs="Courier New"/>
          <w:noProof/>
          <w:color w:val="008000"/>
          <w:sz w:val="20"/>
          <w:szCs w:val="20"/>
        </w:rPr>
        <w:t>reate the request.</w:t>
      </w:r>
    </w:p>
    <w:p w:rsidR="00E05601" w:rsidRDefault="00E05601"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2B91AF"/>
          <w:sz w:val="20"/>
          <w:szCs w:val="20"/>
        </w:rPr>
        <w:t xml:space="preserve">Sequence </w:t>
      </w:r>
      <w:r>
        <w:rPr>
          <w:rFonts w:ascii="Courier New" w:hAnsi="Courier New" w:cs="Courier New"/>
          <w:noProof/>
          <w:sz w:val="20"/>
          <w:szCs w:val="20"/>
        </w:rPr>
        <w:t xml:space="preserve">mySequence = new </w:t>
      </w:r>
      <w:r w:rsidRPr="00E05601">
        <w:rPr>
          <w:rFonts w:ascii="Courier New" w:hAnsi="Courier New" w:cs="Courier New"/>
          <w:noProof/>
          <w:color w:val="2B91AF"/>
          <w:sz w:val="20"/>
          <w:szCs w:val="20"/>
        </w:rPr>
        <w:t xml:space="preserve"> </w:t>
      </w:r>
      <w:r>
        <w:rPr>
          <w:rFonts w:ascii="Courier New" w:hAnsi="Courier New" w:cs="Courier New"/>
          <w:noProof/>
          <w:color w:val="2B91AF"/>
          <w:sz w:val="20"/>
          <w:szCs w:val="20"/>
        </w:rPr>
        <w:t>Sequence</w:t>
      </w:r>
      <w:r>
        <w:rPr>
          <w:rFonts w:ascii="Courier New" w:hAnsi="Courier New" w:cs="Courier New"/>
          <w:noProof/>
          <w:sz w:val="20"/>
          <w:szCs w:val="20"/>
        </w:rPr>
        <w:t>(</w:t>
      </w:r>
      <w:r>
        <w:rPr>
          <w:rFonts w:ascii="Courier New" w:hAnsi="Courier New" w:cs="Courier New"/>
          <w:noProof/>
          <w:color w:val="2B91AF"/>
          <w:sz w:val="20"/>
          <w:szCs w:val="20"/>
        </w:rPr>
        <w:t>Alphabets</w:t>
      </w:r>
      <w:r>
        <w:rPr>
          <w:rFonts w:ascii="Courier New" w:hAnsi="Courier New" w:cs="Courier New"/>
          <w:noProof/>
          <w:sz w:val="20"/>
          <w:szCs w:val="20"/>
        </w:rPr>
        <w:t xml:space="preserve">.Protein, </w:t>
      </w:r>
      <w:r>
        <w:rPr>
          <w:rFonts w:ascii="Courier New" w:hAnsi="Courier New" w:cs="Courier New"/>
          <w:noProof/>
          <w:color w:val="A31515"/>
          <w:sz w:val="20"/>
          <w:szCs w:val="20"/>
        </w:rPr>
        <w:t>“Q</w:t>
      </w:r>
      <w:r>
        <w:rPr>
          <w:rFonts w:ascii="Courier New" w:hAnsi="Courier New" w:cs="Courier New"/>
          <w:noProof/>
          <w:color w:val="A31515"/>
          <w:sz w:val="20"/>
          <w:szCs w:val="20"/>
        </w:rPr>
        <w:t>IKDLLVS</w:t>
      </w:r>
      <w:r>
        <w:rPr>
          <w:rFonts w:ascii="Courier New" w:hAnsi="Courier New" w:cs="Courier New"/>
          <w:noProof/>
          <w:color w:val="A31515"/>
          <w:sz w:val="20"/>
          <w:szCs w:val="20"/>
        </w:rPr>
        <w:t>”</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jobID = service.SubmitSearchRequest(</w:t>
      </w:r>
      <w:r>
        <w:rPr>
          <w:rFonts w:ascii="Courier New" w:hAnsi="Courier New" w:cs="Courier New"/>
          <w:noProof/>
          <w:sz w:val="20"/>
          <w:szCs w:val="20"/>
        </w:rPr>
        <w:t>mySequence</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E05601"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Q</w:t>
      </w:r>
      <w:r>
        <w:rPr>
          <w:rFonts w:ascii="Courier New" w:hAnsi="Courier New" w:cs="Courier New"/>
          <w:noProof/>
          <w:color w:val="008000"/>
          <w:sz w:val="20"/>
          <w:szCs w:val="20"/>
        </w:rPr>
        <w:t>uery the status</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ServiceRequestInformation</w:t>
      </w:r>
      <w:r>
        <w:rPr>
          <w:rFonts w:ascii="Courier New" w:hAnsi="Courier New" w:cs="Courier New"/>
          <w:noProof/>
          <w:sz w:val="20"/>
          <w:szCs w:val="20"/>
        </w:rPr>
        <w:t xml:space="preserve"> info = service.GetRequestStatus(jobID);</w:t>
      </w:r>
    </w:p>
    <w:p w:rsidR="00D02D0F"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(info.Status != </w:t>
      </w:r>
      <w:r>
        <w:rPr>
          <w:rFonts w:ascii="Courier New" w:hAnsi="Courier New" w:cs="Courier New"/>
          <w:noProof/>
          <w:color w:val="2B91AF"/>
          <w:sz w:val="20"/>
          <w:szCs w:val="20"/>
        </w:rPr>
        <w:t>ServiceRequestStatus</w:t>
      </w:r>
      <w:r w:rsidR="00D02D0F">
        <w:rPr>
          <w:rFonts w:ascii="Courier New" w:hAnsi="Courier New" w:cs="Courier New"/>
          <w:noProof/>
          <w:sz w:val="20"/>
          <w:szCs w:val="20"/>
        </w:rPr>
        <w:t>.Waiting &amp;&amp;</w:t>
      </w:r>
    </w:p>
    <w:p w:rsidR="00E05601" w:rsidRDefault="00D02D0F"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5601">
        <w:rPr>
          <w:rFonts w:ascii="Courier New" w:hAnsi="Courier New" w:cs="Courier New"/>
          <w:noProof/>
          <w:sz w:val="20"/>
          <w:szCs w:val="20"/>
        </w:rPr>
        <w:t xml:space="preserve">info.Status != </w:t>
      </w:r>
      <w:r w:rsidR="00E05601">
        <w:rPr>
          <w:rFonts w:ascii="Courier New" w:hAnsi="Courier New" w:cs="Courier New"/>
          <w:noProof/>
          <w:color w:val="2B91AF"/>
          <w:sz w:val="20"/>
          <w:szCs w:val="20"/>
        </w:rPr>
        <w:t>ServiceRequestStatus</w:t>
      </w:r>
      <w:r w:rsidR="00E05601">
        <w:rPr>
          <w:rFonts w:ascii="Courier New" w:hAnsi="Courier New" w:cs="Courier New"/>
          <w:noProof/>
          <w:sz w:val="20"/>
          <w:szCs w:val="20"/>
        </w:rPr>
        <w:t>.Ready)</w:t>
      </w:r>
    </w:p>
    <w:p w:rsidR="00E05601" w:rsidRDefault="00E05601" w:rsidP="00D02D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02D0F" w:rsidRDefault="00D02D0F" w:rsidP="00D02D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w:t>
      </w:r>
      <w:r>
        <w:rPr>
          <w:rFonts w:ascii="Courier New" w:hAnsi="Courier New" w:cs="Courier New"/>
          <w:noProof/>
          <w:color w:val="008000"/>
          <w:sz w:val="20"/>
          <w:szCs w:val="20"/>
        </w:rPr>
        <w:t>Handle the unexpected error</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p>
    <w:p w:rsidR="00E05601" w:rsidRDefault="00D02D0F" w:rsidP="00E0560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Get async results.</w:t>
      </w:r>
      <w:r w:rsidR="00E056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Use </w:t>
      </w:r>
      <w:r w:rsidR="00E05601">
        <w:rPr>
          <w:rFonts w:ascii="Courier New" w:hAnsi="Courier New" w:cs="Courier New"/>
          <w:noProof/>
          <w:color w:val="008000"/>
          <w:sz w:val="20"/>
          <w:szCs w:val="20"/>
        </w:rPr>
        <w:t>poll</w:t>
      </w:r>
      <w:r>
        <w:rPr>
          <w:rFonts w:ascii="Courier New" w:hAnsi="Courier New" w:cs="Courier New"/>
          <w:noProof/>
          <w:color w:val="008000"/>
          <w:sz w:val="20"/>
          <w:szCs w:val="20"/>
        </w:rPr>
        <w:t>ing</w:t>
      </w:r>
      <w:r w:rsidR="00E05601">
        <w:rPr>
          <w:rFonts w:ascii="Courier New" w:hAnsi="Courier New" w:cs="Courier New"/>
          <w:noProof/>
          <w:color w:val="008000"/>
          <w:sz w:val="20"/>
          <w:szCs w:val="20"/>
        </w:rPr>
        <w:t xml:space="preserve"> until </w:t>
      </w:r>
      <w:r>
        <w:rPr>
          <w:rFonts w:ascii="Courier New" w:hAnsi="Courier New" w:cs="Courier New"/>
          <w:noProof/>
          <w:color w:val="008000"/>
          <w:sz w:val="20"/>
          <w:szCs w:val="20"/>
        </w:rPr>
        <w:t xml:space="preserve">the results are </w:t>
      </w:r>
      <w:r w:rsidR="00E05601">
        <w:rPr>
          <w:rFonts w:ascii="Courier New" w:hAnsi="Courier New" w:cs="Courier New"/>
          <w:noProof/>
          <w:color w:val="008000"/>
          <w:sz w:val="20"/>
          <w:szCs w:val="20"/>
        </w:rPr>
        <w:t>ready</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maxAttempts = 10;</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attempt = 1;</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object</w:t>
      </w:r>
      <w:r>
        <w:rPr>
          <w:rFonts w:ascii="Courier New" w:hAnsi="Courier New" w:cs="Courier New"/>
          <w:noProof/>
          <w:sz w:val="20"/>
          <w:szCs w:val="20"/>
        </w:rPr>
        <w:t xml:space="preserve"> resultsObject = </w:t>
      </w:r>
      <w:r>
        <w:rPr>
          <w:rFonts w:ascii="Courier New" w:hAnsi="Courier New" w:cs="Courier New"/>
          <w:noProof/>
          <w:color w:val="0000FF"/>
          <w:sz w:val="20"/>
          <w:szCs w:val="20"/>
        </w:rPr>
        <w:t>null</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(attempt &lt;= maxAttempts &amp;&amp; resultsObject == </w:t>
      </w:r>
      <w:r>
        <w:rPr>
          <w:rFonts w:ascii="Courier New" w:hAnsi="Courier New" w:cs="Courier New"/>
          <w:noProof/>
          <w:color w:val="0000FF"/>
          <w:sz w:val="20"/>
          <w:szCs w:val="20"/>
        </w:rPr>
        <w:t>null</w:t>
      </w: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resultsObject = service.FetchResultsAsync(jobID);</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System.Threading.</w:t>
      </w:r>
      <w:r>
        <w:rPr>
          <w:rFonts w:ascii="Courier New" w:hAnsi="Courier New" w:cs="Courier New"/>
          <w:noProof/>
          <w:color w:val="2B91AF"/>
          <w:sz w:val="20"/>
          <w:szCs w:val="20"/>
        </w:rPr>
        <w:t>Thread</w:t>
      </w:r>
      <w:r>
        <w:rPr>
          <w:rFonts w:ascii="Courier New" w:hAnsi="Courier New" w:cs="Courier New"/>
          <w:noProof/>
          <w:sz w:val="20"/>
          <w:szCs w:val="20"/>
        </w:rPr>
        <w:t xml:space="preserve">.Sleep(resultsObject == </w:t>
      </w:r>
      <w:r>
        <w:rPr>
          <w:rFonts w:ascii="Courier New" w:hAnsi="Courier New" w:cs="Courier New"/>
          <w:noProof/>
          <w:color w:val="0000FF"/>
          <w:sz w:val="20"/>
          <w:szCs w:val="20"/>
        </w:rPr>
        <w:t>null</w:t>
      </w:r>
      <w:r>
        <w:rPr>
          <w:rFonts w:ascii="Courier New" w:hAnsi="Courier New" w:cs="Courier New"/>
          <w:noProof/>
          <w:sz w:val="20"/>
          <w:szCs w:val="20"/>
        </w:rPr>
        <w:t xml:space="preserve"> ? 5000 : 0);</w:t>
      </w:r>
    </w:p>
    <w:p w:rsidR="00E05601" w:rsidRDefault="00E05601" w:rsidP="00E0560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++attempt;</w:t>
      </w:r>
    </w:p>
    <w:p w:rsidR="00E05601" w:rsidRDefault="00E05601" w:rsidP="00E05601">
      <w:pPr>
        <w:rPr>
          <w:rFonts w:ascii="Courier New" w:hAnsi="Courier New" w:cs="Courier New"/>
          <w:noProof/>
          <w:sz w:val="20"/>
          <w:szCs w:val="20"/>
        </w:rPr>
      </w:pPr>
      <w:r>
        <w:rPr>
          <w:rFonts w:ascii="Courier New" w:hAnsi="Courier New" w:cs="Courier New"/>
          <w:noProof/>
          <w:sz w:val="20"/>
          <w:szCs w:val="20"/>
        </w:rPr>
        <w:t>}</w:t>
      </w:r>
    </w:p>
    <w:p w:rsidR="00D02D0F" w:rsidRPr="00D02D0F" w:rsidRDefault="00D02D0F" w:rsidP="00E05601">
      <w:pPr>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BlastResult</w:t>
      </w:r>
      <w:r>
        <w:rPr>
          <w:rFonts w:ascii="Courier New" w:hAnsi="Courier New" w:cs="Courier New"/>
          <w:noProof/>
          <w:sz w:val="20"/>
          <w:szCs w:val="20"/>
        </w:rPr>
        <w:t xml:space="preserve">&gt; results = resultsObject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BlastResult</w:t>
      </w:r>
      <w:r>
        <w:rPr>
          <w:rFonts w:ascii="Courier New" w:hAnsi="Courier New" w:cs="Courier New"/>
          <w:noProof/>
          <w:sz w:val="20"/>
          <w:szCs w:val="20"/>
        </w:rPr>
        <w:t>&gt;</w:t>
      </w:r>
      <w:r>
        <w:rPr>
          <w:rFonts w:ascii="Courier New" w:hAnsi="Courier New" w:cs="Courier New"/>
          <w:noProof/>
          <w:sz w:val="20"/>
          <w:szCs w:val="20"/>
        </w:rPr>
        <w:t>;</w:t>
      </w:r>
    </w:p>
    <w:sectPr w:rsidR="00D02D0F" w:rsidRPr="00D0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F566842"/>
    <w:multiLevelType w:val="hybridMultilevel"/>
    <w:tmpl w:val="DF52E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629E5"/>
    <w:multiLevelType w:val="hybridMultilevel"/>
    <w:tmpl w:val="D864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745"/>
    <w:rsid w:val="00061CC1"/>
    <w:rsid w:val="000A2D05"/>
    <w:rsid w:val="002F36F9"/>
    <w:rsid w:val="00780B80"/>
    <w:rsid w:val="007F4179"/>
    <w:rsid w:val="00BC7A87"/>
    <w:rsid w:val="00BD131F"/>
    <w:rsid w:val="00CC18D9"/>
    <w:rsid w:val="00D02D0F"/>
    <w:rsid w:val="00D471D6"/>
    <w:rsid w:val="00DD37F5"/>
    <w:rsid w:val="00E05601"/>
    <w:rsid w:val="00EA0DC3"/>
    <w:rsid w:val="00F95745"/>
    <w:rsid w:val="00FD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74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D1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3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745"/>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95745"/>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F95745"/>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BD13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31F"/>
    <w:rPr>
      <w:rFonts w:asciiTheme="majorHAnsi" w:eastAsiaTheme="majorEastAsia" w:hAnsiTheme="majorHAnsi" w:cstheme="majorBidi"/>
      <w:b/>
      <w:bCs/>
      <w:color w:val="4F81BD" w:themeColor="accent1"/>
    </w:rPr>
  </w:style>
  <w:style w:type="table" w:styleId="TableGrid">
    <w:name w:val="Table Grid"/>
    <w:basedOn w:val="TableNormal"/>
    <w:uiPriority w:val="59"/>
    <w:rsid w:val="00FD4D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FD4D5E"/>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61CC1"/>
    <w:pPr>
      <w:ind w:left="720"/>
      <w:contextualSpacing/>
    </w:pPr>
  </w:style>
  <w:style w:type="paragraph" w:customStyle="1" w:styleId="Code">
    <w:name w:val="Code"/>
    <w:basedOn w:val="Normal"/>
    <w:link w:val="CodeChar"/>
    <w:qFormat/>
    <w:rsid w:val="000A2D05"/>
    <w:rPr>
      <w:rFonts w:ascii="Consolas" w:hAnsi="Consolas" w:cs="Consolas"/>
    </w:rPr>
  </w:style>
  <w:style w:type="character" w:customStyle="1" w:styleId="CodeChar">
    <w:name w:val="Code Char"/>
    <w:basedOn w:val="DefaultParagraphFont"/>
    <w:link w:val="Code"/>
    <w:rsid w:val="000A2D05"/>
    <w:rPr>
      <w:rFonts w:ascii="Consolas" w:hAnsi="Consolas" w:cs="Consolas"/>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574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D1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3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745"/>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95745"/>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F95745"/>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BD13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31F"/>
    <w:rPr>
      <w:rFonts w:asciiTheme="majorHAnsi" w:eastAsiaTheme="majorEastAsia" w:hAnsiTheme="majorHAnsi" w:cstheme="majorBidi"/>
      <w:b/>
      <w:bCs/>
      <w:color w:val="4F81BD" w:themeColor="accent1"/>
    </w:rPr>
  </w:style>
  <w:style w:type="table" w:styleId="TableGrid">
    <w:name w:val="Table Grid"/>
    <w:basedOn w:val="TableNormal"/>
    <w:uiPriority w:val="59"/>
    <w:rsid w:val="00FD4D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FD4D5E"/>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61CC1"/>
    <w:pPr>
      <w:ind w:left="720"/>
      <w:contextualSpacing/>
    </w:pPr>
  </w:style>
  <w:style w:type="paragraph" w:customStyle="1" w:styleId="Code">
    <w:name w:val="Code"/>
    <w:basedOn w:val="Normal"/>
    <w:link w:val="CodeChar"/>
    <w:qFormat/>
    <w:rsid w:val="000A2D05"/>
    <w:rPr>
      <w:rFonts w:ascii="Consolas" w:hAnsi="Consolas" w:cs="Consolas"/>
    </w:rPr>
  </w:style>
  <w:style w:type="character" w:customStyle="1" w:styleId="CodeChar">
    <w:name w:val="Code Char"/>
    <w:basedOn w:val="DefaultParagraphFont"/>
    <w:link w:val="Code"/>
    <w:rsid w:val="000A2D05"/>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6/relationships/stylesWitht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2009-06-15T23:28:00Z</outs:dateTime>
      <outs:isPinned>true</outs:isPinned>
    </outs:relatedDate>
    <outs:relatedDate>
      <outs:type>2</outs:type>
      <outs:displayName>Created</outs:displayName>
      <outs:dateTime>2009-06-15T18:19:00Z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Jared Jackson</outs:displayName>
          <outs:accountName/>
        </outs:relatedPerson>
      </outs:people>
      <outs:source>0</outs:source>
      <outs:isPinned>true</outs:isPinned>
    </outs:relatedPeopleItem>
    <outs:relatedPeopleItem>
      <outs:category>Last modified by</outs:category>
      <outs:people>
        <outs:relatedPerson>
          <outs:displayName>Jared Jackson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F21B0CC1-9E00-4E03-B5C5-0F6FDDDE388D}">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Jackson</dc:creator>
  <cp:lastModifiedBy>Jared Jackson</cp:lastModifiedBy>
  <cp:revision>8</cp:revision>
  <dcterms:created xsi:type="dcterms:W3CDTF">2009-06-15T18:19:00Z</dcterms:created>
  <dcterms:modified xsi:type="dcterms:W3CDTF">2009-06-16T22:31:00Z</dcterms:modified>
</cp:coreProperties>
</file>