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RAG System Design &amp; Evaluation (Consolidated)</w:t>
      </w:r>
    </w:p>
    <w:p>
      <w:pPr>
        <w:pStyle w:val="Heading2"/>
      </w:pPr>
      <w:r>
        <w:t>Overview</w:t>
      </w:r>
    </w:p>
    <w:p>
      <w:r>
        <w:t>This document consolidates concepts from the base and enriched RAG docs. It covers retriever design, prompt augmentation, grounding evaluation, latency tuning, and governance best-practices.</w:t>
      </w:r>
    </w:p>
    <w:p>
      <w:pPr>
        <w:pStyle w:val="Heading2"/>
      </w:pPr>
      <w:r>
        <w:t>Retriever Fusion Strategies</w:t>
      </w:r>
    </w:p>
    <w:p>
      <w:r>
        <w:t>Combine lexical and semantic search using Reciprocal Rank Fusion (RRF) and weighted score normalization. When corpora include code or highly structured text, consider BM25→Dense re-ranking with Cross-Encoder rerankers.</w:t>
      </w:r>
    </w:p>
    <w:p>
      <w:pPr>
        <w:pStyle w:val="Heading2"/>
      </w:pPr>
      <w:r>
        <w:t>Knowledge Graph Integration</w:t>
      </w:r>
    </w:p>
    <w:p>
      <w:r>
        <w:t>Augment retrieval by linking entities and relations from a Knowledge Graph (KG). Use KG hops to expand recall and fetch related context blocks. Store KG embeddings for hybrid search and relationship-aware reranking.</w:t>
      </w:r>
    </w:p>
    <w:p>
      <w:pPr>
        <w:pStyle w:val="Heading2"/>
      </w:pPr>
      <w:r>
        <w:t>Prompt Augmentation in RAG</w:t>
      </w:r>
    </w:p>
    <w:p>
      <w:r>
        <w:t>Apply query rewriting and instruction templating. Insert citations, require chain-of-thought internally, and use tool-call markers for structured tasks. For long contexts, use hierarchical chunk selection and budgeted summaries.</w:t>
      </w:r>
    </w:p>
    <w:p>
      <w:pPr>
        <w:pStyle w:val="Heading2"/>
      </w:pPr>
      <w:r>
        <w:t>Memory-Augmented Generation</w:t>
      </w:r>
    </w:p>
    <w:p>
      <w:r>
        <w:t>Session memory stores user facts and preferences. Long-term memory summarizes history into canonical records. Use embeddings + recency decay to avoid stale or redundant memories.</w:t>
      </w:r>
    </w:p>
    <w:p>
      <w:pPr>
        <w:pStyle w:val="Heading2"/>
      </w:pPr>
      <w:r>
        <w:t>Evaluation Design</w:t>
      </w:r>
    </w:p>
    <w:p>
      <w:r>
        <w:t>Evaluate with synthetic Q/A pairs plus human ratings for factuality and helpfulness. Automate with LLM judges, but sample audits are key. Track metrics like Context Recall, Faithfulness, Answer Quality, MRR@10, and nDCG@10.</w:t>
      </w:r>
    </w:p>
    <w:p>
      <w:pPr>
        <w:pStyle w:val="Heading2"/>
      </w:pPr>
      <w:r>
        <w:t>Latency Tuning</w:t>
      </w:r>
    </w:p>
    <w:p>
      <w:r>
        <w:t>Use async fan-out for retrieval providers, cache frequent embeddings, and pre-warm vector indexes. Batch reranking requests and enforce token budgets per chunk.</w:t>
      </w:r>
    </w:p>
    <w:p>
      <w:pPr>
        <w:pStyle w:val="Heading2"/>
      </w:pPr>
      <w:r>
        <w:t>Security &amp; Governance</w:t>
      </w:r>
    </w:p>
    <w:p>
      <w:r>
        <w:t>Implement content safety filters, PII redaction, and audit logs. Support data residency and per-tenant indexes. Require signed prompts for sensitive tool calls, and maintain allow/deny lists for sources.</w:t>
      </w:r>
    </w:p>
    <w:p>
      <w:pPr>
        <w:pStyle w:val="Heading2"/>
      </w:pPr>
      <w:r>
        <w:t>Future Outlook</w:t>
      </w:r>
    </w:p>
    <w:p>
      <w:r>
        <w:t>Lightweight retrievers, retrieval distillation, and synthetic corpus generation will reduce cost while increasing grounding reliability. Expect cross-modal retrieval and agentic multi-hop search to mature.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