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dd509778c0faf3c578b8977f2959f59f729d19"/>
    <w:p>
      <w:pPr>
        <w:pStyle w:val="Heading1"/>
      </w:pPr>
      <w:r>
        <w:t xml:space="preserve">A generalizable tool for predicting developmental phenology for wild ecotherms</w:t>
      </w:r>
    </w:p>
    <w:p>
      <w:pPr>
        <w:pStyle w:val="FirstParagraph"/>
      </w:pPr>
      <w:r>
        <w:t xml:space="preserve">Morgan M. Sparks</w:t>
      </w:r>
      <w:r>
        <w:rPr>
          <w:vertAlign w:val="superscript"/>
        </w:rPr>
        <w:t xml:space="preserve">1,4</w:t>
      </w:r>
      <w:r>
        <w:t xml:space="preserve">, Brian C. Leavell</w:t>
      </w:r>
      <w:r>
        <w:rPr>
          <w:vertAlign w:val="superscript"/>
        </w:rPr>
        <w:t xml:space="preserve">2,3</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Department of Biological Sciences, Purdue University, West Lafayette, IN, USA</w:t>
      </w:r>
    </w:p>
    <w:p>
      <w:pPr>
        <w:pStyle w:val="BodyText"/>
      </w:pPr>
      <w:r>
        <w:rPr>
          <w:vertAlign w:val="superscript"/>
        </w:rPr>
        <w:t xml:space="preserve">4</w:t>
      </w:r>
      <w:r>
        <w:t xml:space="preserve">Corresponding author,</w:t>
      </w:r>
      <w:r>
        <w:t xml:space="preserve"> </w:t>
      </w:r>
      <w:hyperlink r:id="rId17">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18"/>
    <w:bookmarkStart w:id="19"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diel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19"/>
    <w:bookmarkStart w:id="21"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strong during early life stages prior to exogenous feeding and is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Within an organism’s typical thermal optima, developmental rates can be effectively approximated with power law or exponential models that capture accelerating developmental rates with rising temperature.</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w:t>
      </w:r>
      <w:r>
        <w:t xml:space="preserve"> </w:t>
      </w:r>
      <w:r>
        <w:t xml:space="preserve">(Quinn 2018)</w:t>
      </w:r>
      <w:r>
        <w:t xml:space="preserve">.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diel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diel contributions are summed until a cumulative threshold is reached, marking the completion of a developmental stage. The package includes both an R-based workflow and a user-friendly Shiny web interface</w:t>
      </w:r>
      <w:r>
        <w:t xml:space="preserve"> </w:t>
      </w:r>
      <w:r>
        <w:t xml:space="preserve">(R Core Team 2024, Sparks et al. 2025)</w:t>
      </w:r>
      <w:r>
        <w:t xml:space="preserve"> </w:t>
      </w:r>
      <w:r>
        <w:t xml:space="preserve">to facilitate broad adoption across research and management communities (</w:t>
      </w:r>
      <w:hyperlink r:id="rId20">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w:t>
      </w:r>
      <w:r>
        <w:t xml:space="preserve">Craig et al.</w:t>
      </w:r>
      <w:r>
        <w:t xml:space="preserve"> </w:t>
      </w:r>
      <w:r>
        <w:t xml:space="preserve">2017, Pinsky et al. 2019)</w:t>
      </w:r>
      <w:r>
        <w:t xml:space="preserve">.</w:t>
      </w:r>
    </w:p>
    <w:bookmarkEnd w:id="21"/>
    <w:bookmarkStart w:id="26" w:name="methods"/>
    <w:p>
      <w:pPr>
        <w:pStyle w:val="Heading1"/>
      </w:pPr>
      <w:r>
        <w:t xml:space="preserve">Methods</w:t>
      </w:r>
    </w:p>
    <w:bookmarkStart w:id="22" w:name="effective-value-models-overview"/>
    <w:p>
      <w:pPr>
        <w:pStyle w:val="Heading2"/>
      </w:pPr>
      <w:r>
        <w:t xml:space="preserve">Effective value models overview</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diel “effective values”—units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r>
            <m:rPr>
              <m:sty m:val="p"/>
            </m:rPr>
            <m:t>(</m:t>
          </m:r>
          <m:r>
            <m:t>l</m:t>
          </m:r>
          <m:r>
            <m:t>o</m:t>
          </m:r>
          <m:sSub>
            <m:e>
              <m:r>
                <m:t>g</m:t>
              </m:r>
            </m:e>
            <m:sub>
              <m:r>
                <m:t>e</m:t>
              </m:r>
            </m:sub>
          </m:sSub>
          <m:r>
            <m:t>a</m:t>
          </m:r>
          <m:r>
            <m:rPr>
              <m:sty m:val="p"/>
            </m:rPr>
            <m:t>−</m:t>
          </m:r>
          <m:r>
            <m:t>l</m:t>
          </m:r>
          <m:r>
            <m:t>o</m:t>
          </m:r>
          <m:sSub>
            <m:e>
              <m:r>
                <m:t>g</m:t>
              </m:r>
            </m:e>
            <m:sub>
              <m:r>
                <m:t>e</m:t>
              </m:r>
            </m:sub>
          </m:sSub>
          <m:r>
            <m:rPr>
              <m:sty m:val="p"/>
            </m:rPr>
            <m:t>(</m:t>
          </m:r>
          <m:r>
            <m:t>T</m:t>
          </m:r>
          <m:r>
            <m:t>e</m:t>
          </m:r>
          <m:r>
            <m:t>m</m:t>
          </m:r>
          <m:r>
            <m:t>p</m:t>
          </m:r>
          <m:r>
            <m:t>e</m:t>
          </m:r>
          <m:r>
            <m:t>r</m:t>
          </m:r>
          <m:r>
            <m:t>a</m:t>
          </m:r>
          <m:r>
            <m:t>t</m:t>
          </m:r>
          <m:r>
            <m:t>u</m:t>
          </m:r>
          <m:r>
            <m:t>r</m:t>
          </m:r>
          <m:sSub>
            <m:e>
              <m:r>
                <m:t>e</m:t>
              </m:r>
            </m:e>
            <m:sub>
              <m:r>
                <m:t>i</m:t>
              </m:r>
            </m:sub>
          </m:sSub>
          <m:r>
            <m:rPr>
              <m:sty m:val="p"/>
            </m:rPr>
            <m:t>−</m:t>
          </m:r>
          <m:r>
            <m:t>b</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diel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diel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diel fluctuating temperatures, with near-perfect concordance between model estimates and empirical data. Finally, while</w:t>
      </w:r>
      <w:r>
        <w:t xml:space="preserve"> </w:t>
      </w:r>
      <w:r>
        <w:rPr>
          <w:b/>
          <w:bCs/>
        </w:rPr>
        <w:t xml:space="preserve">hatchR</w:t>
      </w:r>
      <w:r>
        <w:t xml:space="preserve"> </w:t>
      </w:r>
      <w:r>
        <w:t xml:space="preserve">generally operates assuming the user is predicting at the diel time-step, custom models can parameterized for other time-steps, such as hourly, which is especially useful rapidly developing species.</w:t>
      </w:r>
    </w:p>
    <w:p>
      <w:pPr>
        <w:pStyle w:val="BodyText"/>
      </w:pPr>
      <w:r>
        <w:t xml:space="preserve">To illustrate how a model can be parameterized for non-fish organisms, we developed a custom effective value model for the coastal tailed frog (</w:t>
      </w:r>
      <w:r>
        <w:rPr>
          <w:i/>
          <w:iCs/>
        </w:rPr>
        <w:t xml:space="preserve">Ascaphus truei</w:t>
      </w:r>
      <w:r>
        <w:t xml:space="preserve">), a cold-adapted amphibian widespread in forested streams of western North America (Figure 1A,B).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2"/>
    <w:bookmarkStart w:id="23" w:name="Xd7c6a5f0717c7e3d7e4c8e24060261f2fb469c8"/>
    <w:p>
      <w:pPr>
        <w:pStyle w:val="Heading2"/>
      </w:pPr>
      <w:r>
        <w:t xml:space="preserve">Effective value models vs. threshold models</w:t>
      </w:r>
    </w:p>
    <w:p>
      <w:pPr>
        <w:pStyle w:val="FirstParagraph"/>
      </w:pPr>
      <w:r>
        <w:t xml:space="preserve">In addition to demonstrating how an effective value model might be parameterized, we also use the same underlying data for coastal tailed frogs to show how accumulated thermal models can be highly inaccurate and biased when not used appropriately. Because there is no constant thermal unit threshold at which coastal tailed frogs hatch (Fig 1C)—as is the case with most poikilotherms—when using accumulated thermal unit (ATU) models in wild environments, predictions will only be accurate when the parameterize ATU model (Figure 1C) closely matches the experienced temperature</w:t>
      </w:r>
      <w:r>
        <w:t xml:space="preserve"> </w:t>
      </w:r>
      <w:r>
        <w:rPr>
          <w:i/>
          <w:iCs/>
        </w:rPr>
        <w:t xml:space="preserve">in situ</w:t>
      </w:r>
      <w:r>
        <w:t xml:space="preserve"> </w:t>
      </w:r>
      <w:r>
        <w:t xml:space="preserve">(Figure 1D). These differences are most pronounced when models parameterized at very cold temperatures are used in very warm environments or vice-versa (&gt;40 days). However, even models that more closely match the wild environment, for example an accumulated thermal unit model parameterized at 10 °C, but used for a thermal regime that is actually 8 °C is off by 7.5 days or 18.75% of the 40 day empirical developmental period.</w:t>
      </w:r>
    </w:p>
    <w:bookmarkEnd w:id="23"/>
    <w:bookmarkStart w:id="24" w:name="validating-models-with-empirical-results"/>
    <w:p>
      <w:pPr>
        <w:pStyle w:val="Heading2"/>
      </w:pPr>
      <w:r>
        <w:t xml:space="preserve">Validating models with empirical results</w:t>
      </w:r>
    </w:p>
    <w:p>
      <w:pPr>
        <w:pStyle w:val="FirstParagraph"/>
      </w:pPr>
      <w:r>
        <w:t xml:space="preserve">To demonstrate how models could be parameterized using average temperatures to accurately predict development with</w:t>
      </w:r>
      <w:r>
        <w:t xml:space="preserve"> </w:t>
      </w:r>
      <w:r>
        <w:rPr>
          <w:i/>
          <w:iCs/>
        </w:rPr>
        <w:t xml:space="preserve">in situ</w:t>
      </w:r>
      <w:r>
        <w:t xml:space="preserve"> </w:t>
      </w:r>
      <w:r>
        <w:t xml:space="preserve">thermal regimes, we used data from</w:t>
      </w:r>
      <w:r>
        <w:t xml:space="preserve"> </w:t>
      </w:r>
      <w:r>
        <w:t xml:space="preserve">Sparks et al. (2017)</w:t>
      </w:r>
      <w:r>
        <w:t xml:space="preserve">. Briefly,</w:t>
      </w:r>
      <w:r>
        <w:t xml:space="preserve"> </w:t>
      </w:r>
      <w:r>
        <w:t xml:space="preserve">Sparks et al. (2017)</w:t>
      </w:r>
      <w:r>
        <w:t xml:space="preserve"> </w:t>
      </w:r>
      <w:r>
        <w:t xml:space="preserve">reared populations of sockeye salmon from highly divergent thermal environments in a common garden experimental design. Fertilized embryos were transported from their natal environments the day of fertilization and reared in experimental thermal regimes that were chosen to reflect empirical regimes measured in their home locations (Woody Island and Pedro Ponds, Alaska). The regimes represent a highly thermally variable and warmer, wind-mixed island shore habitat (Woody Island) and cool and stable spring-fed ponds (Pedro Ponds). The exact details of the treatments are available in</w:t>
      </w:r>
      <w:r>
        <w:t xml:space="preserve"> </w:t>
      </w:r>
      <w:r>
        <w:t xml:space="preserve">Sparks et al. (2017)</w:t>
      </w:r>
      <w:r>
        <w:t xml:space="preserve">, but the treatments were designed to either match the empirical records of the thermal environment measured (WI_AVG, WI_COLD, PP_AVG) at those locations or were modeled to reflect warming temperatures over the next century (WI_MIROC, PP_MIROC).</w:t>
      </w:r>
    </w:p>
    <w:p>
      <w:pPr>
        <w:pStyle w:val="BodyText"/>
      </w:pPr>
      <w:r>
        <w:t xml:space="preserve">We used the thermal regimes from the common garden experiment (Figure 2A) and summarized average days to hatch and the corresponding average temperature in the experiment for the populations in the study. Using those empirical measures, we then parameterized a custom model using the</w:t>
      </w:r>
      <w:r>
        <w:t xml:space="preserve"> </w:t>
      </w:r>
      <w:r>
        <w:rPr>
          <w:rStyle w:val="VerbatimChar"/>
        </w:rPr>
        <w:t xml:space="preserve">fit_model()</w:t>
      </w:r>
      <w:r>
        <w:t xml:space="preserve"> </w:t>
      </w:r>
      <w:r>
        <w:t xml:space="preserve">function (Figure 2B) and predicted days to hatch using the diel temperatures recorded in the experiment, which we then compared with empirical results (Figure 2C). There was high correlation between the empirical and predicted days to hatch (r = 0.996) and average absolute difference between modeled and empirical results was small (2.6 days), suggesting model performance was highly concordant with empirical observations. The scenario where the model performed worst was WI_Cold, the most variable of the scenarios (mean = 5.418, SD = 3.136), and predicted a mean hatch date 8 days later (6.8%) than observed.</w:t>
      </w:r>
    </w:p>
    <w:bookmarkEnd w:id="24"/>
    <w:bookmarkStart w:id="25" w:name="using-hatchr-to-predict-phenology"/>
    <w:p>
      <w:pPr>
        <w:pStyle w:val="Heading2"/>
      </w:pPr>
      <w:r>
        <w:t xml:space="preserve">Using hatchR to predict phenology</w:t>
      </w:r>
    </w:p>
    <w:p>
      <w:pPr>
        <w:pStyle w:val="FirstParagraph"/>
      </w:pPr>
      <w:r>
        <w:rPr>
          <w:b/>
          <w:bCs/>
        </w:rPr>
        <w:t xml:space="preserve">hatchR</w:t>
      </w:r>
      <w:r>
        <w:t xml:space="preserve"> </w:t>
      </w:r>
      <w:r>
        <w:t xml:space="preserve">requires two core inputs: a vector of diel average temperatures and a corresponding vector of calendar dates. These data are typically collected from field-deployed temperature loggers. For loggers that record sub-diel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diel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p>
      <w:pPr>
        <w:pStyle w:val="BodyText"/>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diel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diel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5"/>
    <w:bookmarkEnd w:id="26"/>
    <w:bookmarkStart w:id="30" w:name="case-studies"/>
    <w:p>
      <w:pPr>
        <w:pStyle w:val="Heading1"/>
      </w:pPr>
      <w:r>
        <w:t xml:space="preserve">Case studies</w:t>
      </w:r>
    </w:p>
    <w:p>
      <w:pPr>
        <w:pStyle w:val="FirstParagraph"/>
      </w:pPr>
      <w:r>
        <w:t xml:space="preserve">Here we demonstrate how the effective value modeling framework is broadly applicable across poikilothermic taxa and can be used to address a wide array of ecological, evolutionary, and management questions (also, see</w:t>
      </w:r>
      <w:r>
        <w:t xml:space="preserve"> </w:t>
      </w:r>
      <w:r>
        <w:t xml:space="preserve">Sparks et al. (2026)</w:t>
      </w:r>
      <w:r>
        <w:t xml:space="preserve"> </w:t>
      </w:r>
      <w:r>
        <w:t xml:space="preserve">for an example of instream work-window planning during a sensitive developmental period for a threatened fish species). While this manuscript focuses on three illustrative case studies, many additional opportunities exist. To this end, we also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Figures 1,2), allowing users to build tailored effective value models for diverse taxa. The examples span seven taxonomic classes—amphibians, reptiles, insects, crustaceans, copepods, cephalopods, and asteroids —and demonstrate the breadth of systems to which this approach can be applied (for examples with fshes, see</w:t>
      </w:r>
      <w:r>
        <w:t xml:space="preserve"> </w:t>
      </w:r>
      <w:r>
        <w:t xml:space="preserve">Sparks et al. (2026)</w:t>
      </w:r>
      <w:r>
        <w:t xml:space="preserve">). While this manuscript focuses on three case studies, the ecological, evolutionary, and management applications are broad—spanning phenological mismatch and climate vulnerability assessments to invasive species risk modeling and conservation timing of sensitive life stages.</w:t>
      </w:r>
    </w:p>
    <w:bookmarkStart w:id="27"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(N. Karraker, personal communication) and our earlier parameterized effective value model (Figure 1A,B), we modeled diel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3A). Stream reach effects captured the persistent differences in thermal regimes among streams, with estimated marginal means ranging from ~15 to ~44 days to hatch across sites (Figure 3B).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27"/>
    <w:bookmarkStart w:id="28"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diel temperatures of 16 °C (cool) and 24 °C (warm). Under the cool regime, wood frogs hatched earliest while green frogs lagged behind by up to eight days—nearly double the developmental duration (Figure 4A). However, under the warm regime, predicted hatch dates clustered tightly, with all species hatching within one day of each other (Figure 4B). The effective value slopes (Figure 4C)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28"/>
    <w:bookmarkStart w:id="29"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5)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p>
    <w:bookmarkEnd w:id="29"/>
    <w:bookmarkEnd w:id="30"/>
    <w:bookmarkStart w:id="31"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(Figure 1A,B).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We also illustrate how effective value models account for variable thermal environments and compensatory responses by organisms, which may create significant bias in commonly used thermal developmental models (Figure 1C,D).</w:t>
      </w:r>
      <w:r>
        <w:t xml:space="preserve"> </w:t>
      </w:r>
      <w:r>
        <w:rPr>
          <w:b/>
          <w:bCs/>
        </w:rPr>
        <w:t xml:space="preserve">hatchR</w:t>
      </w:r>
      <w:r>
        <w:t xml:space="preserve"> </w:t>
      </w:r>
      <w:r>
        <w:t xml:space="preserve">is distributed as an R package</w:t>
      </w:r>
      <w:r>
        <w:t xml:space="preserve"> </w:t>
      </w:r>
      <w:r>
        <w:t xml:space="preserve">(R Core Team 2024, Sparks et al. 2025)</w:t>
      </w:r>
      <w:r>
        <w:t xml:space="preserve"> </w:t>
      </w:r>
      <w:r>
        <w:t xml:space="preserve">for iterative and customizable processes, as well as a graphical user interface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This modeling framework is largely designed to work within organisms’ range of thermal optima. Specifically, the approach presented here ignores Jensen’s inequality</w:t>
      </w:r>
      <w:r>
        <w:t xml:space="preserve"> </w:t>
      </w:r>
      <w:r>
        <w:t xml:space="preserve">(Ruel et al. 1999)</w:t>
      </w:r>
      <w:r>
        <w:t xml:space="preserve">, as models are parameterized with temperatures generally within thresholds suitable for their respective organisms. Organisms experiencing temperatures outside of those thresholds may respond in a manner that doesn’t match the modeled relationship or adds additional error to the model</w:t>
      </w:r>
      <w:r>
        <w:t xml:space="preserve"> </w:t>
      </w:r>
      <w:r>
        <w:t xml:space="preserve">(Colinet et al. 2015)</w:t>
      </w:r>
      <w:r>
        <w:t xml:space="preserve">. However, the effective value framework is flexible with other modeling approaches, so reciprocation could be used with other non-linear model forms fit outside of</w:t>
      </w:r>
      <w:r>
        <w:t xml:space="preserve"> </w:t>
      </w:r>
      <w:r>
        <w:rPr>
          <w:b/>
          <w:bCs/>
        </w:rPr>
        <w:t xml:space="preserve">hatchR</w:t>
      </w:r>
      <w:r>
        <w:t xml:space="preserve"> </w:t>
      </w:r>
      <w:r>
        <w:t xml:space="preserve">but then applied using the</w:t>
      </w:r>
      <w:r>
        <w:t xml:space="preserve"> </w:t>
      </w:r>
      <w:r>
        <w:rPr>
          <w:rStyle w:val="VerbatimChar"/>
        </w:rPr>
        <w:t xml:space="preserve">predict_phenology()</w:t>
      </w:r>
      <w:r>
        <w:t xml:space="preserve"> </w:t>
      </w:r>
      <w:r>
        <w:t xml:space="preserve">function (see the</w:t>
      </w:r>
      <w:r>
        <w:t xml:space="preserve"> </w:t>
      </w:r>
      <w:r>
        <w:rPr>
          <w:b/>
          <w:bCs/>
        </w:rPr>
        <w:t xml:space="preserve">hatchR</w:t>
      </w:r>
      <w:r>
        <w:t xml:space="preserve"> </w:t>
      </w:r>
      <w:r>
        <w:t xml:space="preserve">manual for details,</w:t>
      </w:r>
      <w:r>
        <w:t xml:space="preserve"> </w:t>
      </w:r>
      <w:r>
        <w:t xml:space="preserve">Sparks et al. (2025)</w:t>
      </w:r>
      <w:r>
        <w:t xml:space="preserve">,</w:t>
      </w:r>
      <w:r>
        <w:t xml:space="preserve"> </w:t>
      </w:r>
      <w:r>
        <w:t xml:space="preserve">Sparks et al. (2026)</w:t>
      </w:r>
      <w:r>
        <w:t xml:space="preserve">).</w:t>
      </w:r>
    </w:p>
    <w:p>
      <w:pPr>
        <w:pStyle w:val="BodyText"/>
      </w:pPr>
      <w:r>
        <w:t xml:space="preserve">Other factors that may contribute to poor model performance include thermal damage from temperatures outside of thermal optima</w:t>
      </w:r>
      <w:r>
        <w:t xml:space="preserve"> </w:t>
      </w:r>
      <w:r>
        <w:t xml:space="preserve">(Arnold et al. 2025)</w:t>
      </w:r>
      <w:r>
        <w:t xml:space="preserve"> </w:t>
      </w:r>
      <w:r>
        <w:t xml:space="preserve">or the manner in which thermal variability is delivered to an organism</w:t>
      </w:r>
      <w:r>
        <w:t xml:space="preserve"> </w:t>
      </w:r>
      <w:r>
        <w:t xml:space="preserve">(Steel et al. 2012, Kefford et al. 2022)</w:t>
      </w:r>
      <w:r>
        <w:t xml:space="preserve">. 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We attempted to verify model predictions for a wild population, but we could not find an example where we could match experimental data at an appropriate scale (</w:t>
      </w:r>
      <w:r>
        <w:rPr>
          <w:i/>
          <w:iCs/>
        </w:rPr>
        <w:t xml:space="preserve">e.g.,</w:t>
      </w:r>
      <w:r>
        <w:t xml:space="preserve"> </w:t>
      </w:r>
      <w:r>
        <w:t xml:space="preserve">for a locally adapted population) with recorded developmental data for that wild population.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 The highly mechanistic relationship of these models—our hatch timing model for tailed frogs describes 99.6% of variance in hatch timing in our data. As an alternative, we used an example in which sockeye salmon were reared in a common garden experiment under thermal regimes matching their natal thermal environment. Models were developed with average temperatures over the course of development in these experiments and these used to predict hatch timing using the</w:t>
      </w:r>
      <w:r>
        <w:t xml:space="preserve"> </w:t>
      </w:r>
      <w:r>
        <w:t xml:space="preserve">“real-world”</w:t>
      </w:r>
      <w:r>
        <w:t xml:space="preserve"> </w:t>
      </w:r>
      <w:r>
        <w:t xml:space="preserve">thermal regimes (Figure 2). This example showed high concordance and low error, indicating these models should perform well once users can match appropriately scaled parameterizations with</w:t>
      </w:r>
      <w:r>
        <w:t xml:space="preserve"> </w:t>
      </w:r>
      <w:r>
        <w:rPr>
          <w:i/>
          <w:iCs/>
        </w:rPr>
        <w:t xml:space="preserve">in situ</w:t>
      </w:r>
      <w:r>
        <w:t xml:space="preserve"> </w:t>
      </w:r>
      <w:r>
        <w:t xml:space="preserve">empirical developmental data. The most highly variable regime was the one in which the model was least accurate, providing additional credence to the concern of how temperature is delivered to an organism. However, the difference was still small (8 days, or 6.8% the developmental period), but worth additional investigation.</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1"/>
    <w:bookmarkStart w:id="32"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2"/>
    <w:bookmarkStart w:id="33"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3"/>
    <w:bookmarkStart w:id="34"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4"/>
    <w:bookmarkStart w:id="35" w:name="conflict-of-interest-statement"/>
    <w:p>
      <w:pPr>
        <w:pStyle w:val="Heading1"/>
      </w:pPr>
      <w:r>
        <w:t xml:space="preserve">Conflict of Interest Statement</w:t>
      </w:r>
    </w:p>
    <w:p>
      <w:pPr>
        <w:pStyle w:val="FirstParagraph"/>
      </w:pPr>
      <w:r>
        <w:t xml:space="preserve">The authors declare no known conflicts of interest.</w:t>
      </w:r>
    </w:p>
    <w:bookmarkEnd w:id="35"/>
    <w:bookmarkStart w:id="38"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6">
        <w:r>
          <w:rPr>
            <w:rStyle w:val="Hyperlink"/>
          </w:rPr>
          <w:t xml:space="preserve">https://bmait101.github.io/hatchR/</w:t>
        </w:r>
      </w:hyperlink>
      <w:r>
        <w:t xml:space="preserve">). Reproducible methods for this manuscript are available at the manuscript github (</w:t>
      </w:r>
      <w:hyperlink r:id="rId37">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as a release to Zenodo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38"/>
    <w:bookmarkStart w:id="126" w:name="references"/>
    <w:p>
      <w:pPr>
        <w:pStyle w:val="Heading1"/>
      </w:pPr>
      <w:r>
        <w:t xml:space="preserve">References</w:t>
      </w:r>
    </w:p>
    <w:bookmarkStart w:id="125" w:name="refs"/>
    <w:bookmarkStart w:id="39" w:name="ref-angilletta2006"/>
    <w:p>
      <w:pPr>
        <w:pStyle w:val="Bibliography"/>
      </w:pPr>
      <w:r>
        <w:t xml:space="preserve">Angilletta Jr., M. J. 2006. Estimating and comparing thermal performance curves. Journal of Thermal Biology 31:541–545.</w:t>
      </w:r>
    </w:p>
    <w:bookmarkEnd w:id="39"/>
    <w:bookmarkStart w:id="41" w:name="ref-angilletta2009"/>
    <w:p>
      <w:pPr>
        <w:pStyle w:val="Bibliography"/>
      </w:pPr>
      <w:r>
        <w:t xml:space="preserve">Angilletta Jr., M. J. 2009.</w:t>
      </w:r>
      <w:r>
        <w:t xml:space="preserve"> </w:t>
      </w:r>
      <w:hyperlink r:id="rId40">
        <w:r>
          <w:rPr>
            <w:rStyle w:val="Hyperlink"/>
          </w:rPr>
          <w:t xml:space="preserve">Thermal adaptation: A theoretical and empirical synthesis</w:t>
        </w:r>
      </w:hyperlink>
      <w:r>
        <w:t xml:space="preserve">. Oxford University Press.</w:t>
      </w:r>
    </w:p>
    <w:bookmarkEnd w:id="41"/>
    <w:bookmarkStart w:id="43" w:name="ref-angilletta2000"/>
    <w:p>
      <w:pPr>
        <w:pStyle w:val="Bibliography"/>
      </w:pPr>
      <w:r>
        <w:t xml:space="preserve">Angilletta, M. J., R. S. Winters, and A. E. Dunham. 2000.</w:t>
      </w:r>
      <w:r>
        <w:t xml:space="preserve"> </w:t>
      </w:r>
      <w:hyperlink r:id="rId42">
        <w:r>
          <w:rPr>
            <w:rStyle w:val="Hyperlink"/>
          </w:rPr>
          <w:t xml:space="preserve">Thermal effects on the energetics of lizard embryos: Implications for hatchling phenotypes</w:t>
        </w:r>
      </w:hyperlink>
      <w:r>
        <w:t xml:space="preserve">. Ecology 81:2957–2968.</w:t>
      </w:r>
    </w:p>
    <w:bookmarkEnd w:id="43"/>
    <w:bookmarkStart w:id="45" w:name="ref-arnold2025"/>
    <w:p>
      <w:pPr>
        <w:pStyle w:val="Bibliography"/>
      </w:pPr>
      <w:r>
        <w:t xml:space="preserve">Arnold, P. A., D. W. A. Noble, A. B. Nicotra, M. R. Kearney, E. L. Rezende, S. C. Andrew, V. F. Briceño, L. B. Buckley, K. A. Christian, S. Clusella-Trullas, S. R. Geange, L. K. Guja, O. Jiménez Robles, B. J. Kefford, V. Kellermann, A. Leigh, R. M. Marchin, K. Mokany, and J. M. Bennett. 2025.</w:t>
      </w:r>
      <w:r>
        <w:t xml:space="preserve"> </w:t>
      </w:r>
      <w:hyperlink r:id="rId44">
        <w:r>
          <w:rPr>
            <w:rStyle w:val="Hyperlink"/>
          </w:rPr>
          <w:t xml:space="preserve">A framework for modelling thermal load sensitivity across life</w:t>
        </w:r>
      </w:hyperlink>
      <w:r>
        <w:t xml:space="preserve">. Global Change Biology 31:e70315.</w:t>
      </w:r>
    </w:p>
    <w:bookmarkEnd w:id="45"/>
    <w:bookmarkStart w:id="47" w:name="ref-aydin2004"/>
    <w:p>
      <w:pPr>
        <w:pStyle w:val="Bibliography"/>
      </w:pPr>
      <w:r>
        <w:t xml:space="preserve">Aydın, H., and M. K. Dilek. 2004.</w:t>
      </w:r>
      <w:r>
        <w:t xml:space="preserve"> </w:t>
      </w:r>
      <w:hyperlink r:id="rId46">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7"/>
    <w:bookmarkStart w:id="49" w:name="ref-beacham1990"/>
    <w:p>
      <w:pPr>
        <w:pStyle w:val="Bibliography"/>
      </w:pPr>
      <w:r>
        <w:t xml:space="preserve">Beacham, T. D., and C. B. Murray. 1990.</w:t>
      </w:r>
      <w:r>
        <w:t xml:space="preserve"> </w:t>
      </w:r>
      <w:hyperlink r:id="rId48">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49"/>
    <w:bookmarkStart w:id="51" w:name="ref-brittain1977"/>
    <w:p>
      <w:pPr>
        <w:pStyle w:val="Bibliography"/>
      </w:pPr>
      <w:r>
        <w:t xml:space="preserve">Brittain, J. E. 1977.</w:t>
      </w:r>
      <w:r>
        <w:t xml:space="preserve"> </w:t>
      </w:r>
      <w:hyperlink r:id="rId50">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51"/>
    <w:bookmarkStart w:id="53" w:name="ref-brittain1978"/>
    <w:p>
      <w:pPr>
        <w:pStyle w:val="Bibliography"/>
      </w:pPr>
      <w:r>
        <w:t xml:space="preserve">Brittain, J. E. 1978.</w:t>
      </w:r>
      <w:r>
        <w:t xml:space="preserve"> </w:t>
      </w:r>
      <w:hyperlink r:id="rId52">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3"/>
    <w:bookmarkStart w:id="55" w:name="ref-brittain1984"/>
    <w:p>
      <w:pPr>
        <w:pStyle w:val="Bibliography"/>
      </w:pPr>
      <w:r>
        <w:t xml:space="preserve">Brittain, J. E., and R. A. Mutch. 1984.</w:t>
      </w:r>
      <w:r>
        <w:t xml:space="preserve"> </w:t>
      </w:r>
      <w:hyperlink r:id="rId54">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5"/>
    <w:bookmarkStart w:id="57" w:name="ref-brown1975"/>
    <w:p>
      <w:pPr>
        <w:pStyle w:val="Bibliography"/>
      </w:pPr>
      <w:r>
        <w:t xml:space="preserve">Brown, H. A. 1975.</w:t>
      </w:r>
      <w:r>
        <w:t xml:space="preserve"> </w:t>
      </w:r>
      <w:hyperlink r:id="rId56">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7"/>
    <w:bookmarkStart w:id="59" w:name="ref-brown1976"/>
    <w:p>
      <w:pPr>
        <w:pStyle w:val="Bibliography"/>
      </w:pPr>
      <w:r>
        <w:t xml:space="preserve">Brown, H. A. 1976.</w:t>
      </w:r>
      <w:r>
        <w:t xml:space="preserve"> </w:t>
      </w:r>
      <w:hyperlink r:id="rId58">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59"/>
    <w:bookmarkStart w:id="61" w:name="ref-colinet2015"/>
    <w:p>
      <w:pPr>
        <w:pStyle w:val="Bibliography"/>
      </w:pPr>
      <w:r>
        <w:t xml:space="preserve">Colinet, H., B. J. Sinclair, P. Vernon, and D. Renault. 2015.</w:t>
      </w:r>
      <w:r>
        <w:t xml:space="preserve"> </w:t>
      </w:r>
      <w:hyperlink r:id="rId60">
        <w:r>
          <w:rPr>
            <w:rStyle w:val="Hyperlink"/>
          </w:rPr>
          <w:t xml:space="preserve">Insects in fluctuating thermal environments</w:t>
        </w:r>
      </w:hyperlink>
      <w:r>
        <w:t xml:space="preserve">. Annual Review of Entomology 60:123–140.</w:t>
      </w:r>
    </w:p>
    <w:bookmarkEnd w:id="61"/>
    <w:bookmarkStart w:id="63" w:name="ref-conover2009"/>
    <w:p>
      <w:pPr>
        <w:pStyle w:val="Bibliography"/>
      </w:pPr>
      <w:r>
        <w:t xml:space="preserve">Conover, D. O., T. A. Duffy, and L. A. Hice. 2009.</w:t>
      </w:r>
      <w:r>
        <w:t xml:space="preserve"> </w:t>
      </w:r>
      <w:hyperlink r:id="rId62">
        <w:r>
          <w:rPr>
            <w:rStyle w:val="Hyperlink"/>
          </w:rPr>
          <w:t xml:space="preserve">The covariance between genetic and environmental influences across ecological gradients</w:t>
        </w:r>
      </w:hyperlink>
      <w:r>
        <w:t xml:space="preserve">. Annals of the New York Academy of Sciences 1168:100–129.</w:t>
      </w:r>
    </w:p>
    <w:bookmarkEnd w:id="63"/>
    <w:bookmarkStart w:id="64" w:name="ref-craig2017"/>
    <w:p>
      <w:pPr>
        <w:pStyle w:val="Bibliography"/>
      </w:pPr>
      <w:r>
        <w:t xml:space="preserve">Craig, L. S., J. D. Olden, A. H. Arthington, S. Entrekin, C. P. Hawkins, J. J. Kelly, T. A. Kennedy, B. M. Maitland, E. J. Rosi, A. H. Roy, and others</w:t>
      </w:r>
      <w:r>
        <w:t xml:space="preserve">. 2017. Meeting the challenge of interacting threats in freshwater ecosystems: A call to scientists and managers. Elem Sci Anth 5:72.</w:t>
      </w:r>
    </w:p>
    <w:bookmarkEnd w:id="64"/>
    <w:bookmarkStart w:id="66" w:name="ref-du2007"/>
    <w:p>
      <w:pPr>
        <w:pStyle w:val="Bibliography"/>
      </w:pPr>
      <w:r>
        <w:t xml:space="preserve">Du, W.-G., L.-J. Hu, J.-L. Lu, and L.-J. Zhu. 2007.</w:t>
      </w:r>
      <w:r>
        <w:t xml:space="preserve"> </w:t>
      </w:r>
      <w:hyperlink r:id="rId65">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6"/>
    <w:bookmarkStart w:id="68" w:name="ref-elliott1984"/>
    <w:p>
      <w:pPr>
        <w:pStyle w:val="Bibliography"/>
      </w:pPr>
      <w:r>
        <w:t xml:space="preserve">Elliott, J. M. 1984.</w:t>
      </w:r>
      <w:r>
        <w:t xml:space="preserve"> </w:t>
      </w:r>
      <w:hyperlink r:id="rId67">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8"/>
    <w:bookmarkStart w:id="70" w:name="ref-elliott1986"/>
    <w:p>
      <w:pPr>
        <w:pStyle w:val="Bibliography"/>
      </w:pPr>
      <w:r>
        <w:t xml:space="preserve">Elliott, J. M. 1986.</w:t>
      </w:r>
      <w:r>
        <w:t xml:space="preserve"> </w:t>
      </w:r>
      <w:hyperlink r:id="rId69">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70"/>
    <w:bookmarkStart w:id="72" w:name="ref-forster2011"/>
    <w:p>
      <w:pPr>
        <w:pStyle w:val="Bibliography"/>
      </w:pPr>
      <w:r>
        <w:t xml:space="preserve">Forster, J., A. G. Hirst, and G. Woodward. 2011.</w:t>
      </w:r>
      <w:r>
        <w:t xml:space="preserve"> </w:t>
      </w:r>
      <w:hyperlink r:id="rId71">
        <w:r>
          <w:rPr>
            <w:rStyle w:val="Hyperlink"/>
          </w:rPr>
          <w:t xml:space="preserve">Growth and development rates have different thermal responses.</w:t>
        </w:r>
      </w:hyperlink>
      <w:r>
        <w:t xml:space="preserve"> The American Naturalist 178:668–678.</w:t>
      </w:r>
    </w:p>
    <w:bookmarkEnd w:id="72"/>
    <w:bookmarkStart w:id="74" w:name="ref-hoegh-guldberg1995"/>
    <w:p>
      <w:pPr>
        <w:pStyle w:val="Bibliography"/>
      </w:pPr>
      <w:r>
        <w:t xml:space="preserve">Hoegh-Guldberg, O., and J. S. Pearse. 1995.</w:t>
      </w:r>
      <w:r>
        <w:t xml:space="preserve"> </w:t>
      </w:r>
      <w:hyperlink r:id="rId73">
        <w:r>
          <w:rPr>
            <w:rStyle w:val="Hyperlink"/>
          </w:rPr>
          <w:t xml:space="preserve">Temperature, food availability, and the development of marine invertebrate larvae</w:t>
        </w:r>
      </w:hyperlink>
      <w:r>
        <w:t xml:space="preserve">. American Zoologist 35:415–425.</w:t>
      </w:r>
    </w:p>
    <w:bookmarkEnd w:id="74"/>
    <w:bookmarkStart w:id="76"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5">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6"/>
    <w:bookmarkStart w:id="78" w:name="ref-kefford2022"/>
    <w:p>
      <w:pPr>
        <w:pStyle w:val="Bibliography"/>
      </w:pPr>
      <w:r>
        <w:t xml:space="preserve">Kefford, B. J., C. K. Ghalambor, B. Dewenter, N. L. Poff, J. Hughes, J. Reich, and R. Thompson. 2022.</w:t>
      </w:r>
      <w:r>
        <w:t xml:space="preserve"> </w:t>
      </w:r>
      <w:hyperlink r:id="rId77">
        <w:r>
          <w:rPr>
            <w:rStyle w:val="Hyperlink"/>
          </w:rPr>
          <w:t xml:space="preserve">Acute, diel, and annual temperature variability and the thermal biology of ectotherms</w:t>
        </w:r>
      </w:hyperlink>
      <w:r>
        <w:t xml:space="preserve">. Global Change Biology 28:6872–6888.</w:t>
      </w:r>
    </w:p>
    <w:bookmarkEnd w:id="78"/>
    <w:bookmarkStart w:id="80" w:name="ref-kozák2009"/>
    <w:p>
      <w:pPr>
        <w:pStyle w:val="Bibliography"/>
      </w:pPr>
      <w:r>
        <w:t xml:space="preserve">Kozák, P., M. Buřič, J. Kanta, A. Kouba, P. Hamr, and T. Policar. 2009.</w:t>
      </w:r>
      <w:r>
        <w:t xml:space="preserve"> </w:t>
      </w:r>
      <w:hyperlink r:id="rId79">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80"/>
    <w:bookmarkStart w:id="82" w:name="ref-lillehammer1986"/>
    <w:p>
      <w:pPr>
        <w:pStyle w:val="Bibliography"/>
      </w:pPr>
      <w:r>
        <w:t xml:space="preserve">Lillehammer, A. 1986.</w:t>
      </w:r>
      <w:r>
        <w:t xml:space="preserve"> </w:t>
      </w:r>
      <w:hyperlink r:id="rId81">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82"/>
    <w:bookmarkStart w:id="84" w:name="ref-márquez2021"/>
    <w:p>
      <w:pPr>
        <w:pStyle w:val="Bibliography"/>
      </w:pPr>
      <w:r>
        <w:t xml:space="preserve">Márquez, L., M. Larson, and E. Almansa. 2021.</w:t>
      </w:r>
      <w:r>
        <w:t xml:space="preserve"> </w:t>
      </w:r>
      <w:hyperlink r:id="rId83">
        <w:r>
          <w:rPr>
            <w:rStyle w:val="Hyperlink"/>
          </w:rPr>
          <w:t xml:space="preserve">Effects of temperature on the rate of embryonic development of cephalopods in the light of thermal time applied to aquaculture</w:t>
        </w:r>
      </w:hyperlink>
      <w:r>
        <w:t xml:space="preserve">. Reviews in Aquaculture 13:706–718.</w:t>
      </w:r>
    </w:p>
    <w:bookmarkEnd w:id="84"/>
    <w:bookmarkStart w:id="85" w:name="ref-mckay2012"/>
    <w:p>
      <w:pPr>
        <w:pStyle w:val="Bibliography"/>
      </w:pPr>
      <w:r>
        <w:t xml:space="preserve">McKay, L., T. Bondelid, T. Dewald, J. Johnson, R. Moore, and A. Rea. 2012. NHDPlus version 2: User guide.</w:t>
      </w:r>
    </w:p>
    <w:bookmarkEnd w:id="85"/>
    <w:bookmarkStart w:id="87" w:name="ref-moore1939"/>
    <w:p>
      <w:pPr>
        <w:pStyle w:val="Bibliography"/>
      </w:pPr>
      <w:r>
        <w:t xml:space="preserve">Moore, J. A. 1939.</w:t>
      </w:r>
      <w:r>
        <w:t xml:space="preserve"> </w:t>
      </w:r>
      <w:hyperlink r:id="rId86">
        <w:r>
          <w:rPr>
            <w:rStyle w:val="Hyperlink"/>
          </w:rPr>
          <w:t xml:space="preserve">Temperature tolerance and rates of development in the eggs of amphibia</w:t>
        </w:r>
      </w:hyperlink>
      <w:r>
        <w:t xml:space="preserve">. Ecology 20:459–478.</w:t>
      </w:r>
    </w:p>
    <w:bookmarkEnd w:id="87"/>
    <w:bookmarkStart w:id="88" w:name="ref-neuheimer2007"/>
    <w:p>
      <w:pPr>
        <w:pStyle w:val="Bibliography"/>
      </w:pPr>
      <w:r>
        <w:t xml:space="preserve">Neuheimer, A. B., and C. T. Taggart. 2007. The growing degree-day and fish size-at-age: The overlooked metric. Canadian Journal of Fisheries and Aquatic Sciences 64:375–385.</w:t>
      </w:r>
    </w:p>
    <w:bookmarkEnd w:id="88"/>
    <w:bookmarkStart w:id="90" w:name="ref-pinsky2019"/>
    <w:p>
      <w:pPr>
        <w:pStyle w:val="Bibliography"/>
      </w:pPr>
      <w:r>
        <w:t xml:space="preserve">Pinsky, M. L., A. M. Eikeset, D. J. McCauley, J. L. Payne, and J. M. Sunday. 2019.</w:t>
      </w:r>
      <w:r>
        <w:t xml:space="preserve"> </w:t>
      </w:r>
      <w:hyperlink r:id="rId89">
        <w:r>
          <w:rPr>
            <w:rStyle w:val="Hyperlink"/>
          </w:rPr>
          <w:t xml:space="preserve">Greater vulnerability to warming of marine versus terrestrial ectotherms</w:t>
        </w:r>
      </w:hyperlink>
      <w:r>
        <w:t xml:space="preserve">. Nature 569:108–111.</w:t>
      </w:r>
    </w:p>
    <w:bookmarkEnd w:id="90"/>
    <w:bookmarkStart w:id="92" w:name="ref-pritchard1987"/>
    <w:p>
      <w:pPr>
        <w:pStyle w:val="Bibliography"/>
      </w:pPr>
      <w:r>
        <w:t xml:space="preserve">Pritchard, G., and M. A. Leggott. 1987.</w:t>
      </w:r>
      <w:r>
        <w:t xml:space="preserve"> </w:t>
      </w:r>
      <w:hyperlink r:id="rId91">
        <w:r>
          <w:rPr>
            <w:rStyle w:val="Hyperlink"/>
          </w:rPr>
          <w:t xml:space="preserve">Temperature, incubation rates and origins of dragonflies</w:t>
        </w:r>
      </w:hyperlink>
      <w:r>
        <w:t xml:space="preserve">. Advances in odonatology 3:121–126.</w:t>
      </w:r>
    </w:p>
    <w:bookmarkEnd w:id="92"/>
    <w:bookmarkStart w:id="94" w:name="ref-qualls1998"/>
    <w:p>
      <w:pPr>
        <w:pStyle w:val="Bibliography"/>
      </w:pPr>
      <w:r>
        <w:t xml:space="preserve">Qualls, F. J., and R. Shine. 1998.</w:t>
      </w:r>
      <w:r>
        <w:t xml:space="preserve"> </w:t>
      </w:r>
      <w:hyperlink r:id="rId93">
        <w:r>
          <w:rPr>
            <w:rStyle w:val="Hyperlink"/>
          </w:rPr>
          <w:t xml:space="preserve">Geographic variation in lizard phenotypes: Importance of the incubation environment</w:t>
        </w:r>
      </w:hyperlink>
      <w:r>
        <w:t xml:space="preserve">. Biological Journal of the Linnean Society 64:477–491.</w:t>
      </w:r>
    </w:p>
    <w:bookmarkEnd w:id="94"/>
    <w:bookmarkStart w:id="95" w:name="ref-quinn2018"/>
    <w:p>
      <w:pPr>
        <w:pStyle w:val="Bibliography"/>
      </w:pPr>
      <w:r>
        <w:t xml:space="preserve">Quinn, T. P. 2018. The behavior and ecology of pacific salmon and trout. University of Washington Press.</w:t>
      </w:r>
    </w:p>
    <w:bookmarkEnd w:id="95"/>
    <w:bookmarkStart w:id="97" w:name="ref-R-software"/>
    <w:p>
      <w:pPr>
        <w:pStyle w:val="Bibliography"/>
      </w:pPr>
      <w:r>
        <w:t xml:space="preserve">R Core Team. 2024.</w:t>
      </w:r>
      <w:r>
        <w:t xml:space="preserve"> </w:t>
      </w:r>
      <w:hyperlink r:id="rId96">
        <w:r>
          <w:rPr>
            <w:rStyle w:val="Hyperlink"/>
          </w:rPr>
          <w:t xml:space="preserve">R: A language and environment for statistical computing</w:t>
        </w:r>
      </w:hyperlink>
      <w:r>
        <w:t xml:space="preserve">. R Foundation for Statistical Computing, Vienna, Austria.</w:t>
      </w:r>
    </w:p>
    <w:bookmarkEnd w:id="97"/>
    <w:bookmarkStart w:id="99" w:name="ref-ruel1999"/>
    <w:p>
      <w:pPr>
        <w:pStyle w:val="Bibliography"/>
      </w:pPr>
      <w:r>
        <w:t xml:space="preserve">Ruel, J. J., M. P. Ayres, J. J. Ruel, and M. P. Ayres. 1999.</w:t>
      </w:r>
      <w:r>
        <w:t xml:space="preserve"> </w:t>
      </w:r>
      <w:hyperlink r:id="rId98">
        <w:r>
          <w:rPr>
            <w:rStyle w:val="Hyperlink"/>
          </w:rPr>
          <w:t xml:space="preserve">Jensen</w:t>
        </w:r>
        <w:r>
          <w:rPr>
            <w:rStyle w:val="Hyperlink"/>
          </w:rPr>
          <w:t xml:space="preserve">’</w:t>
        </w:r>
        <w:r>
          <w:rPr>
            <w:rStyle w:val="Hyperlink"/>
          </w:rPr>
          <w:t xml:space="preserve">s inequality predicts effects of environmental variation</w:t>
        </w:r>
      </w:hyperlink>
      <w:r>
        <w:t xml:space="preserve">. Trends in Ecology &amp; Evolution 14:361–366.</w:t>
      </w:r>
    </w:p>
    <w:bookmarkEnd w:id="99"/>
    <w:bookmarkStart w:id="100"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100"/>
    <w:bookmarkStart w:id="102" w:name="ref-siegel2023"/>
    <w:p>
      <w:pPr>
        <w:pStyle w:val="Bibliography"/>
      </w:pPr>
      <w:r>
        <w:t xml:space="preserve">Siegel, J. E., A. H. Fullerton, A. M. FitzGerald, D. Holzer, and C. E. Jordan. 2023.</w:t>
      </w:r>
      <w:r>
        <w:t xml:space="preserve"> </w:t>
      </w:r>
      <w:hyperlink r:id="rId101">
        <w:r>
          <w:rPr>
            <w:rStyle w:val="Hyperlink"/>
          </w:rPr>
          <w:t xml:space="preserve">Daily stream temperature predictions for free-flowing streams in the pacific northwest, USA</w:t>
        </w:r>
      </w:hyperlink>
      <w:r>
        <w:t xml:space="preserve">. PLOS Water 2:e0000119.</w:t>
      </w:r>
    </w:p>
    <w:bookmarkEnd w:id="102"/>
    <w:bookmarkStart w:id="103" w:name="ref-sih2004"/>
    <w:p>
      <w:pPr>
        <w:pStyle w:val="Bibliography"/>
      </w:pPr>
      <w:r>
        <w:t xml:space="preserve">Sih, A., A. M. Bell, and J. L. Kerby. 2004. Two stressors are far deadlier than one. Trends in ecology &amp; evolution 19:274–276.</w:t>
      </w:r>
    </w:p>
    <w:bookmarkEnd w:id="103"/>
    <w:bookmarkStart w:id="105" w:name="ref-sparks2019"/>
    <w:p>
      <w:pPr>
        <w:pStyle w:val="Bibliography"/>
      </w:pPr>
      <w:r>
        <w:t xml:space="preserve">Sparks, M. M., J. A. Falke, T. P. Quinn, M. D. Adkison, D. E. Schindler, K. Bartz, D. Young, and P. A. H. Westley. 2019.</w:t>
      </w:r>
      <w:r>
        <w:t xml:space="preserve"> </w:t>
      </w:r>
      <w:hyperlink r:id="rId104">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105"/>
    <w:bookmarkStart w:id="107" w:name="ref-sparks2022"/>
    <w:p>
      <w:pPr>
        <w:pStyle w:val="Bibliography"/>
      </w:pPr>
      <w:r>
        <w:t xml:space="preserve">Sparks, M. M., J. C. Kraft, K. M. S. Blackstone, G. G. McNickle, and M. R. Christie. 2022.</w:t>
      </w:r>
      <w:r>
        <w:t xml:space="preserve"> </w:t>
      </w:r>
      <w:hyperlink r:id="rId106">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107"/>
    <w:bookmarkStart w:id="109" w:name="ref-sparks2026"/>
    <w:p>
      <w:pPr>
        <w:pStyle w:val="Bibliography"/>
      </w:pPr>
      <w:r>
        <w:t xml:space="preserve">Sparks, M. M., B. M. Maitland, E. A. Felts, A. G. Swartz, and P. N. Frater. 2026.</w:t>
      </w:r>
      <w:r>
        <w:t xml:space="preserve"> </w:t>
      </w:r>
      <w:hyperlink r:id="rId108">
        <w:r>
          <w:rPr>
            <w:rStyle w:val="Hyperlink"/>
          </w:rPr>
          <w:t xml:space="preserve">hatchR: A toolset to predict when fish hatch and emerge</w:t>
        </w:r>
      </w:hyperlink>
      <w:r>
        <w:t xml:space="preserve">. Fisheries 51:49–59.</w:t>
      </w:r>
    </w:p>
    <w:bookmarkEnd w:id="109"/>
    <w:bookmarkStart w:id="111" w:name="ref-sparks2025"/>
    <w:p>
      <w:pPr>
        <w:pStyle w:val="Bibliography"/>
      </w:pPr>
      <w:r>
        <w:t xml:space="preserve">Sparks, M. M., B. M. Maitland, E. Felts, A. Swartz, and P. Frater. 2025.</w:t>
      </w:r>
      <w:r>
        <w:t xml:space="preserve"> </w:t>
      </w:r>
      <w:hyperlink r:id="rId110">
        <w:r>
          <w:rPr>
            <w:rStyle w:val="Hyperlink"/>
          </w:rPr>
          <w:t xml:space="preserve">hatchR</w:t>
        </w:r>
        <w:r>
          <w:rPr>
            <w:rStyle w:val="Hyperlink"/>
          </w:rPr>
          <w:t xml:space="preserve">: A toolset to predict when fish hatch and emerge</w:t>
        </w:r>
      </w:hyperlink>
      <w:r>
        <w:t xml:space="preserve">. CRAN.</w:t>
      </w:r>
    </w:p>
    <w:bookmarkEnd w:id="111"/>
    <w:bookmarkStart w:id="113" w:name="ref-sparks2017"/>
    <w:p>
      <w:pPr>
        <w:pStyle w:val="Bibliography"/>
      </w:pPr>
      <w:r>
        <w:t xml:space="preserve">Sparks, M. M., P. A. H. Westley, J. A. Falke, and T. P. Quinn. 2017.</w:t>
      </w:r>
      <w:r>
        <w:t xml:space="preserve"> </w:t>
      </w:r>
      <w:hyperlink r:id="rId112">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13"/>
    <w:bookmarkStart w:id="115" w:name="ref-steel2012"/>
    <w:p>
      <w:pPr>
        <w:pStyle w:val="Bibliography"/>
      </w:pPr>
      <w:r>
        <w:t xml:space="preserve">Steel, E. A., A. Tillotson, D. A. Larsen, A. H. Fullerton, K. P. Denton, and B. R. Beckman. 2012.</w:t>
      </w:r>
      <w:r>
        <w:t xml:space="preserve"> </w:t>
      </w:r>
      <w:hyperlink r:id="rId114">
        <w:r>
          <w:rPr>
            <w:rStyle w:val="Hyperlink"/>
          </w:rPr>
          <w:t xml:space="preserve">Beyond the mean: The role of variability in predicting ecological effects of stream temperature on salmon</w:t>
        </w:r>
      </w:hyperlink>
      <w:r>
        <w:t xml:space="preserve">. Ecosphere 3:art104.</w:t>
      </w:r>
    </w:p>
    <w:bookmarkEnd w:id="115"/>
    <w:bookmarkStart w:id="117" w:name="ref-tang2017"/>
    <w:p>
      <w:pPr>
        <w:pStyle w:val="Bibliography"/>
      </w:pPr>
      <w:r>
        <w:t xml:space="preserve">Tang, J., H. He, C. Chen, S. Fu, and F. Xue. 2017.</w:t>
      </w:r>
      <w:r>
        <w:t xml:space="preserve"> </w:t>
      </w:r>
      <w:hyperlink r:id="rId116">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17"/>
    <w:bookmarkStart w:id="119" w:name="ref-vandamme1992"/>
    <w:p>
      <w:pPr>
        <w:pStyle w:val="Bibliography"/>
      </w:pPr>
      <w:r>
        <w:t xml:space="preserve">Van Damme, R., D. Bauwens, F. Braña, and R. F. Verheyen. 1992.</w:t>
      </w:r>
      <w:r>
        <w:t xml:space="preserve"> </w:t>
      </w:r>
      <w:hyperlink r:id="rId118">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19"/>
    <w:bookmarkStart w:id="121" w:name="ref-warkentin2011"/>
    <w:p>
      <w:pPr>
        <w:pStyle w:val="Bibliography"/>
      </w:pPr>
      <w:r>
        <w:t xml:space="preserve">Warkentin, K. M. 2011.</w:t>
      </w:r>
      <w:r>
        <w:t xml:space="preserve"> </w:t>
      </w:r>
      <w:hyperlink r:id="rId120">
        <w:r>
          <w:rPr>
            <w:rStyle w:val="Hyperlink"/>
          </w:rPr>
          <w:t xml:space="preserve">Environmentally cued hatching across taxa: Embryos respond to risk and opportunity</w:t>
        </w:r>
      </w:hyperlink>
      <w:r>
        <w:t xml:space="preserve">. Integrative and Comparative Biology 51:14–25.</w:t>
      </w:r>
    </w:p>
    <w:bookmarkEnd w:id="121"/>
    <w:bookmarkStart w:id="122" w:name="ref-west-eberhard2003"/>
    <w:p>
      <w:pPr>
        <w:pStyle w:val="Bibliography"/>
      </w:pPr>
      <w:r>
        <w:t xml:space="preserve">West-Eberhard, M. J. 2003. Developmental plasticity and evolution. Oxford University Press.</w:t>
      </w:r>
    </w:p>
    <w:bookmarkEnd w:id="122"/>
    <w:bookmarkStart w:id="124" w:name="ref-while2018"/>
    <w:p>
      <w:pPr>
        <w:pStyle w:val="Bibliography"/>
      </w:pPr>
      <w:r>
        <w:t xml:space="preserve">While, G. M., D. W. A. Noble, T. Uller, D. A. Warner, J. L. Riley, W.-G. Du, and L. E. Schwanz. 2018.</w:t>
      </w:r>
      <w:r>
        <w:t xml:space="preserve"> </w:t>
      </w:r>
      <w:hyperlink r:id="rId123">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24"/>
    <w:bookmarkEnd w:id="125"/>
    <w:p>
      <w:r>
        <w:br w:type="page"/>
      </w:r>
    </w:p>
    <w:bookmarkEnd w:id="126"/>
    <w:bookmarkStart w:id="127"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27"/>
    <w:bookmarkStart w:id="128"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non-linear performance curve and raw data used to generate the effective value model. Panel B illustrates the effective values for diel temperatures between 6 and 20 °C. A dashed line with a 0.01 increase for every degree increase is included for reference. Panel C uses the model fit from Panel A to convert to an accumulated thermal unit (ATU) model (number of days to hatch x diel temperature), showing a variable threshold for accumulated units to hatch. Panel D shows differences in modeled days to hatch (Panel A) when an accumulated thermal unit model parameterized at a certain temperature is used across the range of temperatures from Panel A. Note, ATU models make unbiased predictions when the temperature the model is parameterized at (ATU Model in the figure) matches the incubation temperature, but becomes increasingly biased when those numbers become more disparate.</w:t>
      </w:r>
    </w:p>
    <w:p>
      <w:pPr>
        <w:pStyle w:val="BodyText"/>
      </w:pPr>
      <w:r>
        <w:t xml:space="preserve">Figure 2: Model parameterization and prediction for variable thermal regimes used in</w:t>
      </w:r>
      <w:r>
        <w:t xml:space="preserve"> </w:t>
      </w:r>
      <w:r>
        <w:t xml:space="preserve">Sparks et al. (2017)</w:t>
      </w:r>
      <w:r>
        <w:t xml:space="preserve">. Panel A shows empirical thermal regimes used to rear sockeye salmon (</w:t>
      </w:r>
      <w:r>
        <w:rPr>
          <w:i/>
          <w:iCs/>
        </w:rPr>
        <w:t xml:space="preserve">Oncorhynchus nerka</w:t>
      </w:r>
      <w:r>
        <w:t xml:space="preserve">) with regimes of different averages and variance (regimes end when all fish were hatched). Panel B shows a developmental model parameterized using the average temperatures from those regimes. Panel C shows the days to hatch predicted with the custom model and diel temperatures from the empirical thermal regimes and compares them to empirical average days to hatch from the experiment. The dashed line shows a 1:1 relationship.</w:t>
      </w:r>
    </w:p>
    <w:p>
      <w:pPr>
        <w:pStyle w:val="BodyText"/>
      </w:pPr>
      <w:r>
        <w:t xml:space="preserve">Figure 3: Modeled changes in developmental timing for coastal tailed frogs (</w:t>
      </w:r>
      <w:r>
        <w:rPr>
          <w:i/>
          <w:iCs/>
        </w:rPr>
        <w:t xml:space="preserve">Ascaphus truei</w:t>
      </w:r>
      <w:r>
        <w:t xml:space="preserve">) from 1991 to 2020s with stream temperatures from</w:t>
      </w:r>
      <w:r>
        <w:t xml:space="preserve"> </w:t>
      </w:r>
      <w:r>
        <w:t xml:space="preserve">Siegel et al. (2023)</w:t>
      </w:r>
      <w:r>
        <w:t xml:space="preserve"> </w:t>
      </w:r>
      <w:r>
        <w:t xml:space="preserve">using a model parameterized in this study (Figure 1). Panel A shows a marginal mean trend across all sites and a significant decline in days to hatching over time. Panel B shows site- and reach-specific (COMID) trends in predicted days to hatch, colored by mountain range. Shaded ribbons represent 95% confidence intervals.</w:t>
      </w:r>
    </w:p>
    <w:p>
      <w:pPr>
        <w:pStyle w:val="BodyText"/>
      </w:pPr>
      <w:r>
        <w:t xml:space="preserve">Figure 4: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diel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5: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a pattern is indicative of cogradient variation.</w:t>
      </w:r>
    </w:p>
    <w:p>
      <w:r>
        <w:br w:type="page"/>
      </w:r>
    </w:p>
    <w:bookmarkEnd w:id="128"/>
    <w:sectPr w:rsidR="006F0C8A" w:rsidSect="00623540">
      <w:footerReference r:id="rId7" w:type="even"/>
      <w:footerReference r:id="rId8"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hyperlink" Id="rId36"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6"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6"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5" Target="https://doi.org/10.1016/j.aquaculture.2007.09.009" TargetMode="External" /><Relationship Type="http://schemas.openxmlformats.org/officeDocument/2006/relationships/hyperlink" Id="rId89" Target="https://doi.org/10.1038/s41586-019-1132-4" TargetMode="External" /><Relationship Type="http://schemas.openxmlformats.org/officeDocument/2006/relationships/hyperlink" Id="rId81" Target="https://doi.org/10.1080/01650428609361257" TargetMode="External" /><Relationship Type="http://schemas.openxmlformats.org/officeDocument/2006/relationships/hyperlink" Id="rId71" Target="https://doi.org/10.1086/662174" TargetMode="External" /><Relationship Type="http://schemas.openxmlformats.org/officeDocument/2006/relationships/hyperlink" Id="rId40"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3"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7" Target="https://doi.org/10.1111/gcb.16453" TargetMode="External" /><Relationship Type="http://schemas.openxmlformats.org/officeDocument/2006/relationships/hyperlink" Id="rId44" Target="https://doi.org/10.1111/gcb.70315" TargetMode="External" /><Relationship Type="http://schemas.openxmlformats.org/officeDocument/2006/relationships/hyperlink" Id="rId93" Target="https://doi.org/10.1111/j.1095-8312.1998.tb00345.x" TargetMode="External" /><Relationship Type="http://schemas.openxmlformats.org/officeDocument/2006/relationships/hyperlink" Id="rId67" Target="https://doi.org/10.1111/j.1365-2427.1984.tb00169.x" TargetMode="External" /><Relationship Type="http://schemas.openxmlformats.org/officeDocument/2006/relationships/hyperlink" Id="rId62" Target="https://doi.org/10.1111/j.1749-6632.2009.04575.x" TargetMode="External" /><Relationship Type="http://schemas.openxmlformats.org/officeDocument/2006/relationships/hyperlink" Id="rId83"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8" Target="https://doi.org/10.1139/z76-063" TargetMode="External" /><Relationship Type="http://schemas.openxmlformats.org/officeDocument/2006/relationships/hyperlink" Id="rId60"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8" Target="https://doi.org/10.1577/1548-8659(1990)119&lt;0927:TESADO&gt;2.3.CO;2" TargetMode="External" /><Relationship Type="http://schemas.openxmlformats.org/officeDocument/2006/relationships/hyperlink" Id="rId79" Target="https://doi.org/10.17221/1727-CJAS" TargetMode="External" /><Relationship Type="http://schemas.openxmlformats.org/officeDocument/2006/relationships/hyperlink" Id="rId42"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5" Target="https://doi.org/10.1898/1051-1733(2006)87[87:TVIOBT]2.0.CO;2" TargetMode="External" /><Relationship Type="http://schemas.openxmlformats.org/officeDocument/2006/relationships/hyperlink" Id="rId86" Target="https://doi.org/10.2307/1930439" TargetMode="External" /><Relationship Type="http://schemas.openxmlformats.org/officeDocument/2006/relationships/hyperlink" Id="rId52" Target="https://doi.org/10.2307/3543518" TargetMode="External" /><Relationship Type="http://schemas.openxmlformats.org/officeDocument/2006/relationships/hyperlink" Id="rId50"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4" Target="https://doi.org/10.4039/Ent116549-4" TargetMode="External" /><Relationship Type="http://schemas.openxmlformats.org/officeDocument/2006/relationships/hyperlink" Id="rId37" Target="https://github.com/morgan-sparks/hatchR_nonfish" TargetMode="External" /><Relationship Type="http://schemas.openxmlformats.org/officeDocument/2006/relationships/hyperlink" Id="rId91"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69"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6"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6"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6"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5" Target="https://doi.org/10.1016/j.aquaculture.2007.09.009" TargetMode="External" /><Relationship Type="http://schemas.openxmlformats.org/officeDocument/2006/relationships/hyperlink" Id="rId89" Target="https://doi.org/10.1038/s41586-019-1132-4" TargetMode="External" /><Relationship Type="http://schemas.openxmlformats.org/officeDocument/2006/relationships/hyperlink" Id="rId81" Target="https://doi.org/10.1080/01650428609361257" TargetMode="External" /><Relationship Type="http://schemas.openxmlformats.org/officeDocument/2006/relationships/hyperlink" Id="rId71" Target="https://doi.org/10.1086/662174" TargetMode="External" /><Relationship Type="http://schemas.openxmlformats.org/officeDocument/2006/relationships/hyperlink" Id="rId40"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3"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7" Target="https://doi.org/10.1111/gcb.16453" TargetMode="External" /><Relationship Type="http://schemas.openxmlformats.org/officeDocument/2006/relationships/hyperlink" Id="rId44" Target="https://doi.org/10.1111/gcb.70315" TargetMode="External" /><Relationship Type="http://schemas.openxmlformats.org/officeDocument/2006/relationships/hyperlink" Id="rId93" Target="https://doi.org/10.1111/j.1095-8312.1998.tb00345.x" TargetMode="External" /><Relationship Type="http://schemas.openxmlformats.org/officeDocument/2006/relationships/hyperlink" Id="rId67" Target="https://doi.org/10.1111/j.1365-2427.1984.tb00169.x" TargetMode="External" /><Relationship Type="http://schemas.openxmlformats.org/officeDocument/2006/relationships/hyperlink" Id="rId62" Target="https://doi.org/10.1111/j.1749-6632.2009.04575.x" TargetMode="External" /><Relationship Type="http://schemas.openxmlformats.org/officeDocument/2006/relationships/hyperlink" Id="rId83"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8" Target="https://doi.org/10.1139/z76-063" TargetMode="External" /><Relationship Type="http://schemas.openxmlformats.org/officeDocument/2006/relationships/hyperlink" Id="rId60"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8" Target="https://doi.org/10.1577/1548-8659(1990)119&lt;0927:TESADO&gt;2.3.CO;2" TargetMode="External" /><Relationship Type="http://schemas.openxmlformats.org/officeDocument/2006/relationships/hyperlink" Id="rId79" Target="https://doi.org/10.17221/1727-CJAS" TargetMode="External" /><Relationship Type="http://schemas.openxmlformats.org/officeDocument/2006/relationships/hyperlink" Id="rId42"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5" Target="https://doi.org/10.1898/1051-1733(2006)87[87:TVIOBT]2.0.CO;2" TargetMode="External" /><Relationship Type="http://schemas.openxmlformats.org/officeDocument/2006/relationships/hyperlink" Id="rId86" Target="https://doi.org/10.2307/1930439" TargetMode="External" /><Relationship Type="http://schemas.openxmlformats.org/officeDocument/2006/relationships/hyperlink" Id="rId52" Target="https://doi.org/10.2307/3543518" TargetMode="External" /><Relationship Type="http://schemas.openxmlformats.org/officeDocument/2006/relationships/hyperlink" Id="rId50"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4" Target="https://doi.org/10.4039/Ent116549-4" TargetMode="External" /><Relationship Type="http://schemas.openxmlformats.org/officeDocument/2006/relationships/hyperlink" Id="rId37" Target="https://github.com/morgan-sparks/hatchR_nonfish" TargetMode="External" /><Relationship Type="http://schemas.openxmlformats.org/officeDocument/2006/relationships/hyperlink" Id="rId91"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69"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2026-06-24T16:40:22Z</dcterms:created>
  <dcterms:modified xsi:type="dcterms:W3CDTF">2026-06-24T16:40:22Z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