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6.png" ContentType="image/png"/>
  <Override PartName="/word/media/rId119.png" ContentType="image/png"/>
  <Override PartName="/word/media/rId122.png" ContentType="image/png"/>
  <Override PartName="/word/media/rId1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6"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w:t>
      </w:r>
    </w:p>
    <w:p>
      <w:pPr>
        <w:pStyle w:val="BodyText"/>
      </w:pPr>
      <w:r>
        <w:t xml:space="preserve">While</w:t>
      </w:r>
      <w:r>
        <w:rPr>
          <w:b/>
          <w:bCs/>
        </w:rPr>
        <w:t xml:space="preserve">hatchR</w:t>
      </w:r>
      <w:r>
        <w:t xml:space="preserve">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6"/>
    <w:bookmarkStart w:id="30" w:name="methods"/>
    <w:p>
      <w:pPr>
        <w:pStyle w:val="Heading1"/>
      </w:pPr>
      <w:r>
        <w:t xml:space="preserve">Methods</w:t>
      </w:r>
    </w:p>
    <w:bookmarkStart w:id="27"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7"/>
    <w:bookmarkStart w:id="28"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bookmarkEnd w:id="28"/>
    <w:bookmarkStart w:id="29"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w:t>
      </w:r>
      <w:r>
        <w:rPr>
          <w:i/>
          <w:iCs/>
        </w:rPr>
        <w:t xml:space="preserve">e.g.</w:t>
      </w:r>
      <w:r>
        <w:t xml:space="preserve">, oviposition or spawning; using the</w:t>
      </w:r>
      <w:r>
        <w:t xml:space="preserve"> </w:t>
      </w:r>
      <w:r>
        <w:rPr>
          <w:rStyle w:val="VerbatimChar"/>
        </w:rPr>
        <w:t xml:space="preserve">spawn.date</w:t>
      </w:r>
      <w:r>
        <w:t xml:space="preserve"> </w:t>
      </w:r>
      <w:r>
        <w:t xml:space="preserve">argument)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29"/>
    <w:bookmarkEnd w:id="30"/>
    <w:bookmarkStart w:id="34"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1"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demonstrate an application of</w:t>
      </w:r>
      <w:r>
        <w:t xml:space="preserve"> </w:t>
      </w:r>
      <w:r>
        <w:rPr>
          <w:b/>
          <w:bCs/>
        </w:rPr>
        <w:t xml:space="preserve">hatchR</w:t>
      </w:r>
      <w:r>
        <w:t xml:space="preserve"> </w:t>
      </w:r>
      <w:r>
        <w:t xml:space="preserve">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1"/>
    <w:bookmarkStart w:id="32"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w:t>
      </w:r>
      <w:r>
        <w:t xml:space="preserve"> </w:t>
      </w:r>
      <w:r>
        <w:t xml:space="preserve">(Angilletta Jr. 2009)</w:t>
      </w:r>
      <w:r>
        <w:t xml:space="preserve">.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r>
        <w:t xml:space="preserve"> </w:t>
      </w:r>
      <w:r>
        <w:t xml:space="preserve">(Moore 1939)</w:t>
      </w:r>
      <w:r>
        <w:t xml:space="preserve">.</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2"/>
    <w:bookmarkStart w:id="33"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w:t>
      </w:r>
      <w:r>
        <w:t xml:space="preserve"> </w:t>
      </w:r>
      <w:r>
        <w:rPr>
          <w:b/>
          <w:bCs/>
        </w:rPr>
        <w:t xml:space="preserve">hatchR</w:t>
      </w:r>
      <w:r>
        <w:t xml:space="preserve"> </w:t>
      </w:r>
      <w:r>
        <w:t xml:space="preserve">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females)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genetic and environmental effects on a phenotype act in the same direction</w:t>
      </w:r>
      <w:r>
        <w:t xml:space="preserve"> </w:t>
      </w:r>
      <w:r>
        <w:t xml:space="preserve">(Conover et al. 2009, Sparks et al. 2022)</w:t>
      </w:r>
      <w:r>
        <w:t xml:space="preserve">.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bookmarkEnd w:id="33"/>
    <w:bookmarkEnd w:id="34"/>
    <w:bookmarkStart w:id="35"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datasets spanningseven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5"/>
    <w:bookmarkStart w:id="36"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6"/>
    <w:bookmarkStart w:id="37"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37"/>
    <w:bookmarkStart w:id="38"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sources and wrote and edited the manuscript.</w:t>
      </w:r>
    </w:p>
    <w:bookmarkEnd w:id="38"/>
    <w:bookmarkStart w:id="39" w:name="conflict-of-interest-statement"/>
    <w:p>
      <w:pPr>
        <w:pStyle w:val="Heading1"/>
      </w:pPr>
      <w:r>
        <w:t xml:space="preserve">Conflict of Interest Statement</w:t>
      </w:r>
    </w:p>
    <w:p>
      <w:pPr>
        <w:pStyle w:val="FirstParagraph"/>
      </w:pPr>
      <w:r>
        <w:t xml:space="preserve">The authors declare no known conflicts of interest.</w:t>
      </w:r>
    </w:p>
    <w:bookmarkEnd w:id="39"/>
    <w:bookmarkStart w:id="113" w:name="references"/>
    <w:p>
      <w:pPr>
        <w:pStyle w:val="Heading1"/>
      </w:pPr>
      <w:r>
        <w:t xml:space="preserve">References</w:t>
      </w:r>
    </w:p>
    <w:bookmarkStart w:id="112" w:name="refs"/>
    <w:bookmarkStart w:id="40" w:name="ref-angilletta2006"/>
    <w:p>
      <w:pPr>
        <w:pStyle w:val="Bibliography"/>
      </w:pPr>
      <w:r>
        <w:t xml:space="preserve">Angilletta Jr., M. J. 2006. Estimating and comparing thermal performance curves. Journal of Thermal Biology 31:541–545.</w:t>
      </w:r>
    </w:p>
    <w:bookmarkEnd w:id="40"/>
    <w:bookmarkStart w:id="42" w:name="ref-angilletta2009"/>
    <w:p>
      <w:pPr>
        <w:pStyle w:val="Bibliography"/>
      </w:pPr>
      <w:r>
        <w:t xml:space="preserve">Angilletta Jr., M. J. 2009.</w:t>
      </w:r>
      <w:r>
        <w:t xml:space="preserve"> </w:t>
      </w:r>
      <w:hyperlink r:id="rId41">
        <w:r>
          <w:rPr>
            <w:rStyle w:val="Hyperlink"/>
          </w:rPr>
          <w:t xml:space="preserve">Thermal adaptation: A theoretical and empirical synthesis</w:t>
        </w:r>
      </w:hyperlink>
      <w:r>
        <w:t xml:space="preserve">. Oxford University Press.</w:t>
      </w:r>
    </w:p>
    <w:bookmarkEnd w:id="42"/>
    <w:bookmarkStart w:id="44" w:name="ref-angilletta2000"/>
    <w:p>
      <w:pPr>
        <w:pStyle w:val="Bibliography"/>
      </w:pPr>
      <w:r>
        <w:t xml:space="preserve">Angilletta, M. J., R. S. Winters, and A. E. Dunham. 2000.</w:t>
      </w:r>
      <w:r>
        <w:t xml:space="preserve"> </w:t>
      </w:r>
      <w:hyperlink r:id="rId43">
        <w:r>
          <w:rPr>
            <w:rStyle w:val="Hyperlink"/>
          </w:rPr>
          <w:t xml:space="preserve">Thermal effects on the energetics of lizard embryos: implications for hatchling phenotypes</w:t>
        </w:r>
      </w:hyperlink>
      <w:r>
        <w:t xml:space="preserve">. Ecology 81:2957–2968.</w:t>
      </w:r>
    </w:p>
    <w:bookmarkEnd w:id="44"/>
    <w:bookmarkStart w:id="46" w:name="ref-aydin2004"/>
    <w:p>
      <w:pPr>
        <w:pStyle w:val="Bibliography"/>
      </w:pPr>
      <w:r>
        <w:t xml:space="preserve">Aydın, H., and M. K. Dilek. 2004.</w:t>
      </w:r>
      <w:r>
        <w:t xml:space="preserve"> </w:t>
      </w:r>
      <w:hyperlink r:id="rId45">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6"/>
    <w:bookmarkStart w:id="48" w:name="ref-beacham1990"/>
    <w:p>
      <w:pPr>
        <w:pStyle w:val="Bibliography"/>
      </w:pPr>
      <w:r>
        <w:t xml:space="preserve">Beacham, T. D., and C. B. Murray. 1990.</w:t>
      </w:r>
      <w:r>
        <w:t xml:space="preserve"> </w:t>
      </w:r>
      <w:hyperlink r:id="rId47">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8"/>
    <w:bookmarkStart w:id="50" w:name="ref-brittain1977"/>
    <w:p>
      <w:pPr>
        <w:pStyle w:val="Bibliography"/>
      </w:pPr>
      <w:r>
        <w:t xml:space="preserve">Brittain, J. E. 1977.</w:t>
      </w:r>
      <w:r>
        <w:t xml:space="preserve"> </w:t>
      </w:r>
      <w:hyperlink r:id="rId49">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0"/>
    <w:bookmarkStart w:id="52" w:name="ref-brittain1978"/>
    <w:p>
      <w:pPr>
        <w:pStyle w:val="Bibliography"/>
      </w:pPr>
      <w:r>
        <w:t xml:space="preserve">Brittain, J. E. 1978.</w:t>
      </w:r>
      <w:r>
        <w:t xml:space="preserve"> </w:t>
      </w:r>
      <w:hyperlink r:id="rId51">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2"/>
    <w:bookmarkStart w:id="54" w:name="ref-brittain1984"/>
    <w:p>
      <w:pPr>
        <w:pStyle w:val="Bibliography"/>
      </w:pPr>
      <w:r>
        <w:t xml:space="preserve">Brittain, J. E., and R. A. Mutch. 1984.</w:t>
      </w:r>
      <w:r>
        <w:t xml:space="preserve"> </w:t>
      </w:r>
      <w:hyperlink r:id="rId53">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4"/>
    <w:bookmarkStart w:id="56" w:name="ref-brown1975"/>
    <w:p>
      <w:pPr>
        <w:pStyle w:val="Bibliography"/>
      </w:pPr>
      <w:r>
        <w:t xml:space="preserve">Brown, H. A. 1975.</w:t>
      </w:r>
      <w:r>
        <w:t xml:space="preserve"> </w:t>
      </w:r>
      <w:hyperlink r:id="rId55">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6"/>
    <w:bookmarkStart w:id="58" w:name="ref-brown1976"/>
    <w:p>
      <w:pPr>
        <w:pStyle w:val="Bibliography"/>
      </w:pPr>
      <w:r>
        <w:t xml:space="preserve">Brown, H. A. 1976.</w:t>
      </w:r>
      <w:r>
        <w:t xml:space="preserve"> </w:t>
      </w:r>
      <w:hyperlink r:id="rId57">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8"/>
    <w:bookmarkStart w:id="60" w:name="ref-conover2009"/>
    <w:p>
      <w:pPr>
        <w:pStyle w:val="Bibliography"/>
      </w:pPr>
      <w:r>
        <w:t xml:space="preserve">Conover, D. O., T. A. Duffy, and L. A. Hice. 2009.</w:t>
      </w:r>
      <w:r>
        <w:t xml:space="preserve"> </w:t>
      </w:r>
      <w:hyperlink r:id="rId59">
        <w:r>
          <w:rPr>
            <w:rStyle w:val="Hyperlink"/>
          </w:rPr>
          <w:t xml:space="preserve">The covariance between genetic and environmental influences across ecological gradients</w:t>
        </w:r>
      </w:hyperlink>
      <w:r>
        <w:t xml:space="preserve">. Annals of the New York Academy of Sciences 1168:100–129.</w:t>
      </w:r>
    </w:p>
    <w:bookmarkEnd w:id="60"/>
    <w:bookmarkStart w:id="61"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1"/>
    <w:bookmarkStart w:id="63" w:name="ref-du2007"/>
    <w:p>
      <w:pPr>
        <w:pStyle w:val="Bibliography"/>
      </w:pPr>
      <w:r>
        <w:t xml:space="preserve">Du, W.-G., L.-J. Hu, J.-L. Lu, and L.-J. Zhu. 2007.</w:t>
      </w:r>
      <w:r>
        <w:t xml:space="preserve"> </w:t>
      </w:r>
      <w:hyperlink r:id="rId62">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3"/>
    <w:bookmarkStart w:id="65" w:name="ref-elliott1984"/>
    <w:p>
      <w:pPr>
        <w:pStyle w:val="Bibliography"/>
      </w:pPr>
      <w:r>
        <w:t xml:space="preserve">Elliott, J. M. 1984.</w:t>
      </w:r>
      <w:r>
        <w:t xml:space="preserve"> </w:t>
      </w:r>
      <w:hyperlink r:id="rId64">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5"/>
    <w:bookmarkStart w:id="67" w:name="ref-elliott1986"/>
    <w:p>
      <w:pPr>
        <w:pStyle w:val="Bibliography"/>
      </w:pPr>
      <w:r>
        <w:t xml:space="preserve">Elliott, J. M. 1986.</w:t>
      </w:r>
      <w:r>
        <w:t xml:space="preserve"> </w:t>
      </w:r>
      <w:hyperlink r:id="rId66">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7"/>
    <w:bookmarkStart w:id="69" w:name="ref-forster2011"/>
    <w:p>
      <w:pPr>
        <w:pStyle w:val="Bibliography"/>
      </w:pPr>
      <w:r>
        <w:t xml:space="preserve">Forster, J., A. G. Hirst, and G. Woodward. 2011.</w:t>
      </w:r>
      <w:r>
        <w:t xml:space="preserve"> </w:t>
      </w:r>
      <w:hyperlink r:id="rId68">
        <w:r>
          <w:rPr>
            <w:rStyle w:val="Hyperlink"/>
          </w:rPr>
          <w:t xml:space="preserve">Growth and development rates have different thermal responses.</w:t>
        </w:r>
      </w:hyperlink>
      <w:r>
        <w:t xml:space="preserve"> The American Naturalist 178:668–678.</w:t>
      </w:r>
    </w:p>
    <w:bookmarkEnd w:id="69"/>
    <w:bookmarkStart w:id="71" w:name="ref-hoegh-guldberg1995"/>
    <w:p>
      <w:pPr>
        <w:pStyle w:val="Bibliography"/>
      </w:pPr>
      <w:r>
        <w:t xml:space="preserve">Hoegh-Guldberg, O., and J. S. Pearse. 1995.</w:t>
      </w:r>
      <w:r>
        <w:t xml:space="preserve"> </w:t>
      </w:r>
      <w:hyperlink r:id="rId70">
        <w:r>
          <w:rPr>
            <w:rStyle w:val="Hyperlink"/>
          </w:rPr>
          <w:t xml:space="preserve">Temperature, food availability, and the development of marine invertebrate larvae</w:t>
        </w:r>
      </w:hyperlink>
      <w:r>
        <w:t xml:space="preserve">. American Zoologist 35:415–425.</w:t>
      </w:r>
    </w:p>
    <w:bookmarkEnd w:id="71"/>
    <w:bookmarkStart w:id="73"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2">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3"/>
    <w:bookmarkStart w:id="75" w:name="ref-kozák2009"/>
    <w:p>
      <w:pPr>
        <w:pStyle w:val="Bibliography"/>
      </w:pPr>
      <w:r>
        <w:t xml:space="preserve">Kozák, P., M. Buřič, J. Kanta, A. Kouba, P. Hamr, and T. Policar. 2009.</w:t>
      </w:r>
      <w:r>
        <w:t xml:space="preserve"> </w:t>
      </w:r>
      <w:hyperlink r:id="rId74">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5"/>
    <w:bookmarkStart w:id="77" w:name="ref-lillehammer1986"/>
    <w:p>
      <w:pPr>
        <w:pStyle w:val="Bibliography"/>
      </w:pPr>
      <w:r>
        <w:t xml:space="preserve">Lillehammer, A. 1986.</w:t>
      </w:r>
      <w:r>
        <w:t xml:space="preserve"> </w:t>
      </w:r>
      <w:hyperlink r:id="rId76">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7"/>
    <w:bookmarkStart w:id="79" w:name="ref-márquez2021"/>
    <w:p>
      <w:pPr>
        <w:pStyle w:val="Bibliography"/>
      </w:pPr>
      <w:r>
        <w:t xml:space="preserve">Márquez, L., M. Larson, and E. Almansa. 2021.</w:t>
      </w:r>
      <w:r>
        <w:t xml:space="preserve"> </w:t>
      </w:r>
      <w:hyperlink r:id="rId78">
        <w:r>
          <w:rPr>
            <w:rStyle w:val="Hyperlink"/>
          </w:rPr>
          <w:t xml:space="preserve">Effects of temperature on the rate of embryonic development of cephalopods in the light of thermal time applied to aquaculture</w:t>
        </w:r>
      </w:hyperlink>
      <w:r>
        <w:t xml:space="preserve">. Reviews in Aquaculture 13:706–718.</w:t>
      </w:r>
    </w:p>
    <w:bookmarkEnd w:id="79"/>
    <w:bookmarkStart w:id="81" w:name="ref-moore1939"/>
    <w:p>
      <w:pPr>
        <w:pStyle w:val="Bibliography"/>
      </w:pPr>
      <w:r>
        <w:t xml:space="preserve">Moore, J. A. 1939.</w:t>
      </w:r>
      <w:r>
        <w:t xml:space="preserve"> </w:t>
      </w:r>
      <w:hyperlink r:id="rId80">
        <w:r>
          <w:rPr>
            <w:rStyle w:val="Hyperlink"/>
          </w:rPr>
          <w:t xml:space="preserve">Temperature tolerance and rates of development in the eggs of amphibia</w:t>
        </w:r>
      </w:hyperlink>
      <w:r>
        <w:t xml:space="preserve">. Ecology 20:459–478.</w:t>
      </w:r>
    </w:p>
    <w:bookmarkEnd w:id="81"/>
    <w:bookmarkStart w:id="82" w:name="ref-neuheimer2007"/>
    <w:p>
      <w:pPr>
        <w:pStyle w:val="Bibliography"/>
      </w:pPr>
      <w:r>
        <w:t xml:space="preserve">Neuheimer, A. B., and C. T. Taggart. 2007. The growing degree-day and fish size-at-age: The overlooked metric. Canadian Journal of Fisheries and Aquatic Sciences 64:375–385.</w:t>
      </w:r>
    </w:p>
    <w:bookmarkEnd w:id="82"/>
    <w:bookmarkStart w:id="84" w:name="ref-pinsky2019"/>
    <w:p>
      <w:pPr>
        <w:pStyle w:val="Bibliography"/>
      </w:pPr>
      <w:r>
        <w:t xml:space="preserve">Pinsky, M. L., A. M. Eikeset, D. J. McCauley, J. L. Payne, and J. M. Sunday. 2019.</w:t>
      </w:r>
      <w:r>
        <w:t xml:space="preserve"> </w:t>
      </w:r>
      <w:hyperlink r:id="rId83">
        <w:r>
          <w:rPr>
            <w:rStyle w:val="Hyperlink"/>
          </w:rPr>
          <w:t xml:space="preserve">Greater vulnerability to warming of marine versus terrestrial ectotherms</w:t>
        </w:r>
      </w:hyperlink>
      <w:r>
        <w:t xml:space="preserve">. Nature 569:108–111.</w:t>
      </w:r>
    </w:p>
    <w:bookmarkEnd w:id="84"/>
    <w:bookmarkStart w:id="86" w:name="ref-pritchard1987"/>
    <w:p>
      <w:pPr>
        <w:pStyle w:val="Bibliography"/>
      </w:pPr>
      <w:r>
        <w:t xml:space="preserve">Pritchard, G., and M. A. Leggott. 1987.</w:t>
      </w:r>
      <w:r>
        <w:t xml:space="preserve"> </w:t>
      </w:r>
      <w:hyperlink r:id="rId85">
        <w:r>
          <w:rPr>
            <w:rStyle w:val="Hyperlink"/>
          </w:rPr>
          <w:t xml:space="preserve">Temperature, incubation rates and origins of dragonflies</w:t>
        </w:r>
      </w:hyperlink>
      <w:r>
        <w:t xml:space="preserve">. Advances in odonatology 3:121–126.</w:t>
      </w:r>
    </w:p>
    <w:bookmarkEnd w:id="86"/>
    <w:bookmarkStart w:id="88" w:name="ref-qualls1998"/>
    <w:p>
      <w:pPr>
        <w:pStyle w:val="Bibliography"/>
      </w:pPr>
      <w:r>
        <w:t xml:space="preserve">Qualls, F. J., and R. Shine. 1998.</w:t>
      </w:r>
      <w:r>
        <w:t xml:space="preserve"> </w:t>
      </w:r>
      <w:hyperlink r:id="rId87">
        <w:r>
          <w:rPr>
            <w:rStyle w:val="Hyperlink"/>
          </w:rPr>
          <w:t xml:space="preserve">Geographic variation in lizard phenotypes: importance of the incubation environment</w:t>
        </w:r>
      </w:hyperlink>
      <w:r>
        <w:t xml:space="preserve">. Biological Journal of the Linnean Society 64:477–491.</w:t>
      </w:r>
    </w:p>
    <w:bookmarkEnd w:id="88"/>
    <w:bookmarkStart w:id="89"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89"/>
    <w:bookmarkStart w:id="91" w:name="ref-siegel2023"/>
    <w:p>
      <w:pPr>
        <w:pStyle w:val="Bibliography"/>
      </w:pPr>
      <w:r>
        <w:t xml:space="preserve">Siegel, J. E., A. H. Fullerton, A. M. FitzGerald, D. Holzer, and C. E. Jordan. 2023.</w:t>
      </w:r>
      <w:r>
        <w:t xml:space="preserve"> </w:t>
      </w:r>
      <w:hyperlink r:id="rId90">
        <w:r>
          <w:rPr>
            <w:rStyle w:val="Hyperlink"/>
          </w:rPr>
          <w:t xml:space="preserve">Daily stream temperature predictions for free-flowing streams in the Pacific Northwest, USA</w:t>
        </w:r>
      </w:hyperlink>
      <w:r>
        <w:t xml:space="preserve">. PLOS Water 2:e0000119.</w:t>
      </w:r>
    </w:p>
    <w:bookmarkEnd w:id="91"/>
    <w:bookmarkStart w:id="92" w:name="ref-sih2004"/>
    <w:p>
      <w:pPr>
        <w:pStyle w:val="Bibliography"/>
      </w:pPr>
      <w:r>
        <w:t xml:space="preserve">Sih, A., A. M. Bell, and J. L. Kerby. 2004. Two stressors are far deadlier than one. Trends in ecology &amp; evolution 19:274–276.</w:t>
      </w:r>
    </w:p>
    <w:bookmarkEnd w:id="92"/>
    <w:bookmarkStart w:id="94" w:name="ref-sparks2019"/>
    <w:p>
      <w:pPr>
        <w:pStyle w:val="Bibliography"/>
      </w:pPr>
      <w:r>
        <w:t xml:space="preserve">Sparks, M. M., J. A. Falke, T. P. Quinn, M. D. Adkison, D. E. Schindler, K. Bartz, D. Young, and P. A. H. Westley. 2019.</w:t>
      </w:r>
      <w:r>
        <w:t xml:space="preserve"> </w:t>
      </w:r>
      <w:hyperlink r:id="rId93">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4"/>
    <w:bookmarkStart w:id="96" w:name="ref-sparks2022"/>
    <w:p>
      <w:pPr>
        <w:pStyle w:val="Bibliography"/>
      </w:pPr>
      <w:r>
        <w:t xml:space="preserve">Sparks, M. M., J. C. Kraft, K. M. S. Blackstone, G. G. McNickle, and M. R. Christie. 2022.</w:t>
      </w:r>
      <w:r>
        <w:t xml:space="preserve"> </w:t>
      </w:r>
      <w:hyperlink r:id="rId95">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6"/>
    <w:bookmarkStart w:id="98" w:name="ref-sparks2025"/>
    <w:p>
      <w:pPr>
        <w:pStyle w:val="Bibliography"/>
      </w:pPr>
      <w:r>
        <w:t xml:space="preserve">Sparks, M. M., B. M. Maitland, E. Felts, A. Swartz, and P. Frater. 2025.</w:t>
      </w:r>
      <w:r>
        <w:t xml:space="preserve"> </w:t>
      </w:r>
      <w:hyperlink r:id="rId97">
        <w:r>
          <w:rPr>
            <w:rStyle w:val="Hyperlink"/>
          </w:rPr>
          <w:t xml:space="preserve">hatchR</w:t>
        </w:r>
        <w:r>
          <w:rPr>
            <w:rStyle w:val="Hyperlink"/>
          </w:rPr>
          <w:t xml:space="preserve">: A toolset to predict when fish hatch and emerge</w:t>
        </w:r>
      </w:hyperlink>
      <w:r>
        <w:t xml:space="preserve">. CRAN.</w:t>
      </w:r>
    </w:p>
    <w:bookmarkEnd w:id="98"/>
    <w:bookmarkStart w:id="100" w:name="ref-sparks2017"/>
    <w:p>
      <w:pPr>
        <w:pStyle w:val="Bibliography"/>
      </w:pPr>
      <w:r>
        <w:t xml:space="preserve">Sparks, M. M., P. A. H. Westley, J. A. Falke, and T. P. Quinn. 2017.</w:t>
      </w:r>
      <w:r>
        <w:t xml:space="preserve"> </w:t>
      </w:r>
      <w:hyperlink r:id="rId99">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0"/>
    <w:bookmarkStart w:id="102" w:name="ref-steel2012"/>
    <w:p>
      <w:pPr>
        <w:pStyle w:val="Bibliography"/>
      </w:pPr>
      <w:r>
        <w:t xml:space="preserve">Steel, E. A., A. Tillotson, D. A. Larsen, A. H. Fullerton, K. P. Denton, and B. R. Beckman. 2012.</w:t>
      </w:r>
      <w:r>
        <w:t xml:space="preserve"> </w:t>
      </w:r>
      <w:hyperlink r:id="rId101">
        <w:r>
          <w:rPr>
            <w:rStyle w:val="Hyperlink"/>
          </w:rPr>
          <w:t xml:space="preserve">Beyond the mean: The role of variability in predicting ecological effects of stream temperature on salmon</w:t>
        </w:r>
      </w:hyperlink>
      <w:r>
        <w:t xml:space="preserve">. Ecosphere 3:art104.</w:t>
      </w:r>
    </w:p>
    <w:bookmarkEnd w:id="102"/>
    <w:bookmarkStart w:id="104" w:name="ref-tang2017"/>
    <w:p>
      <w:pPr>
        <w:pStyle w:val="Bibliography"/>
      </w:pPr>
      <w:r>
        <w:t xml:space="preserve">Tang, J., H. He, C. Chen, S. Fu, and F. Xue. 2017.</w:t>
      </w:r>
      <w:r>
        <w:t xml:space="preserve"> </w:t>
      </w:r>
      <w:hyperlink r:id="rId103">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4"/>
    <w:bookmarkStart w:id="106" w:name="ref-vandamme1992"/>
    <w:p>
      <w:pPr>
        <w:pStyle w:val="Bibliography"/>
      </w:pPr>
      <w:r>
        <w:t xml:space="preserve">Van Damme, R., D. Bauwens, F. Braña, and R. F. Verheyen. 1992.</w:t>
      </w:r>
      <w:r>
        <w:t xml:space="preserve"> </w:t>
      </w:r>
      <w:hyperlink r:id="rId105">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6"/>
    <w:bookmarkStart w:id="108" w:name="ref-warkentin2011"/>
    <w:p>
      <w:pPr>
        <w:pStyle w:val="Bibliography"/>
      </w:pPr>
      <w:r>
        <w:t xml:space="preserve">Warkentin, K. M. 2011.</w:t>
      </w:r>
      <w:r>
        <w:t xml:space="preserve"> </w:t>
      </w:r>
      <w:hyperlink r:id="rId107">
        <w:r>
          <w:rPr>
            <w:rStyle w:val="Hyperlink"/>
          </w:rPr>
          <w:t xml:space="preserve">Environmentally cued hatching across taxa: Embryos respond to risk and opportunity</w:t>
        </w:r>
      </w:hyperlink>
      <w:r>
        <w:t xml:space="preserve">. Integrative and Comparative Biology 51:14–25.</w:t>
      </w:r>
    </w:p>
    <w:bookmarkEnd w:id="108"/>
    <w:bookmarkStart w:id="109" w:name="ref-west-eberhard2003"/>
    <w:p>
      <w:pPr>
        <w:pStyle w:val="Bibliography"/>
      </w:pPr>
      <w:r>
        <w:t xml:space="preserve">West-Eberhard, M. J. 2003. Developmental Plasticity and Evolution. Oxford University Press.</w:t>
      </w:r>
    </w:p>
    <w:bookmarkEnd w:id="109"/>
    <w:bookmarkStart w:id="111" w:name="ref-while2018"/>
    <w:p>
      <w:pPr>
        <w:pStyle w:val="Bibliography"/>
      </w:pPr>
      <w:r>
        <w:t xml:space="preserve">While, G. M., D. W. A. Noble, T. Uller, D. A. Warner, J. L. Riley, W.-G. Du, and L. E. Schwanz. 2018.</w:t>
      </w:r>
      <w:r>
        <w:t xml:space="preserve"> </w:t>
      </w:r>
      <w:hyperlink r:id="rId110">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1"/>
    <w:bookmarkEnd w:id="112"/>
    <w:p>
      <w:r>
        <w:br w:type="page"/>
      </w:r>
    </w:p>
    <w:bookmarkEnd w:id="113"/>
    <w:bookmarkStart w:id="114"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rPr>
                <w:i/>
                <w:iCs/>
              </w:rP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4"/>
    <w:bookmarkStart w:id="115"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 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5"/>
    <w:bookmarkStart w:id="128" w:name="figures"/>
    <w:p>
      <w:pPr>
        <w:pStyle w:val="Heading1"/>
      </w:pPr>
      <w:r>
        <w:t xml:space="preserve">Figures</w:t>
      </w:r>
    </w:p>
    <w:p>
      <w:pPr>
        <w:pStyle w:val="FirstParagraph"/>
      </w:pPr>
      <w:r>
        <w:drawing>
          <wp:inline>
            <wp:extent cx="5943600" cy="2971800"/>
            <wp:effectExtent b="0" l="0" r="0" t="0"/>
            <wp:docPr descr="" title="" id="117" name="Picture"/>
            <a:graphic>
              <a:graphicData uri="http://schemas.openxmlformats.org/drawingml/2006/picture">
                <pic:pic>
                  <pic:nvPicPr>
                    <pic:cNvPr descr="paper_files/figure-docx/fig-1-1.png"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0" name="Picture"/>
            <a:graphic>
              <a:graphicData uri="http://schemas.openxmlformats.org/drawingml/2006/picture">
                <pic:pic>
                  <pic:nvPicPr>
                    <pic:cNvPr descr="paper_files/figure-docx/fig-2-1.png" id="121" name="Picture"/>
                    <pic:cNvPicPr>
                      <a:picLocks noChangeArrowheads="1" noChangeAspect="1"/>
                    </pic:cNvPicPr>
                  </pic:nvPicPr>
                  <pic:blipFill>
                    <a:blip r:embed="rId119"/>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3" name="Picture"/>
            <a:graphic>
              <a:graphicData uri="http://schemas.openxmlformats.org/drawingml/2006/picture">
                <pic:pic>
                  <pic:nvPicPr>
                    <pic:cNvPr descr="paper_files/figure-docx/fig-3-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6" name="Picture"/>
            <a:graphic>
              <a:graphicData uri="http://schemas.openxmlformats.org/drawingml/2006/picture">
                <pic:pic>
                  <pic:nvPicPr>
                    <pic:cNvPr descr="paper_files/figure-docx/fig-4-1.png" id="127" name="Picture"/>
                    <pic:cNvPicPr>
                      <a:picLocks noChangeArrowheads="1" noChangeAspect="1"/>
                    </pic:cNvPicPr>
                  </pic:nvPicPr>
                  <pic:blipFill>
                    <a:blip r:embed="rId125"/>
                    <a:stretch>
                      <a:fillRect/>
                    </a:stretch>
                  </pic:blipFill>
                  <pic:spPr bwMode="auto">
                    <a:xfrm>
                      <a:off x="0" y="0"/>
                      <a:ext cx="5943600" cy="2971800"/>
                    </a:xfrm>
                    <a:prstGeom prst="rect">
                      <a:avLst/>
                    </a:prstGeom>
                    <a:noFill/>
                    <a:ln w="9525">
                      <a:noFill/>
                      <a:headEnd/>
                      <a:tailEnd/>
                    </a:ln>
                  </pic:spPr>
                </pic:pic>
              </a:graphicData>
            </a:graphic>
          </wp:inline>
        </w:drawing>
      </w:r>
    </w:p>
    <w:bookmarkEnd w:id="128"/>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45" Target="https://dergipark.org.tr/en/pub/trjfas-ayrildi/issue/13289/160618" TargetMode="External" /><Relationship Type="http://schemas.openxmlformats.org/officeDocument/2006/relationships/hyperlink" Id="rId110" Target="https://doi.org/10.1002/jez.2181" TargetMode="External" /><Relationship Type="http://schemas.openxmlformats.org/officeDocument/2006/relationships/hyperlink" Id="rId55" Target="https://doi.org/10.1016/0300-9629(75)90033-X" TargetMode="External" /><Relationship Type="http://schemas.openxmlformats.org/officeDocument/2006/relationships/hyperlink" Id="rId62" Target="https://doi.org/10.1016/j.aquaculture.2007.09.009" TargetMode="External" /><Relationship Type="http://schemas.openxmlformats.org/officeDocument/2006/relationships/hyperlink" Id="rId83" Target="https://doi.org/10.1038/s41586-019-1132-4" TargetMode="External" /><Relationship Type="http://schemas.openxmlformats.org/officeDocument/2006/relationships/hyperlink" Id="rId76" Target="https://doi.org/10.1080/01650428609361257" TargetMode="External" /><Relationship Type="http://schemas.openxmlformats.org/officeDocument/2006/relationships/hyperlink" Id="rId68" Target="https://doi.org/10.1086/662174" TargetMode="External" /><Relationship Type="http://schemas.openxmlformats.org/officeDocument/2006/relationships/hyperlink" Id="rId41" Target="https://doi.org/10.1093/acprof:oso/9780198570875.001.1" TargetMode="External" /><Relationship Type="http://schemas.openxmlformats.org/officeDocument/2006/relationships/hyperlink" Id="rId70" Target="https://doi.org/10.1093/icb/35.4.415" TargetMode="External" /><Relationship Type="http://schemas.openxmlformats.org/officeDocument/2006/relationships/hyperlink" Id="rId107" Target="https://doi.org/10.1093/icb/icr017" TargetMode="External" /><Relationship Type="http://schemas.openxmlformats.org/officeDocument/2006/relationships/hyperlink" Id="rId95" Target="https://doi.org/10.1098/rspb.2022.1472" TargetMode="External" /><Relationship Type="http://schemas.openxmlformats.org/officeDocument/2006/relationships/hyperlink" Id="rId99" Target="https://doi.org/10.1111/gcb.13782" TargetMode="External" /><Relationship Type="http://schemas.openxmlformats.org/officeDocument/2006/relationships/hyperlink" Id="rId87" Target="https://doi.org/10.1111/j.1095-8312.1998.tb00345.x" TargetMode="External" /><Relationship Type="http://schemas.openxmlformats.org/officeDocument/2006/relationships/hyperlink" Id="rId64" Target="https://doi.org/10.1111/j.1365-2427.1984.tb00169.x" TargetMode="External" /><Relationship Type="http://schemas.openxmlformats.org/officeDocument/2006/relationships/hyperlink" Id="rId59" Target="https://doi.org/10.1111/j.1749-6632.2009.04575.x" TargetMode="External" /><Relationship Type="http://schemas.openxmlformats.org/officeDocument/2006/relationships/hyperlink" Id="rId78" Target="https://doi.org/10.1111/raq.12495" TargetMode="External" /><Relationship Type="http://schemas.openxmlformats.org/officeDocument/2006/relationships/hyperlink" Id="rId93" Target="https://doi.org/10.1139/cjfas-2017-0468" TargetMode="External" /><Relationship Type="http://schemas.openxmlformats.org/officeDocument/2006/relationships/hyperlink" Id="rId57" Target="https://doi.org/10.1139/z76-063" TargetMode="External" /><Relationship Type="http://schemas.openxmlformats.org/officeDocument/2006/relationships/hyperlink" Id="rId103" Target="https://doi.org/10.1371/journal.pone.0181030" TargetMode="External" /><Relationship Type="http://schemas.openxmlformats.org/officeDocument/2006/relationships/hyperlink" Id="rId90" Target="https://doi.org/10.1371/journal.pwat.0000119" TargetMode="External" /><Relationship Type="http://schemas.openxmlformats.org/officeDocument/2006/relationships/hyperlink" Id="rId47" Target="https://doi.org/10.1577/1548-8659(1990)119&lt;0927:TESADO&gt;2.3.CO;2" TargetMode="External" /><Relationship Type="http://schemas.openxmlformats.org/officeDocument/2006/relationships/hyperlink" Id="rId74" Target="https://doi.org/10.17221/1727-CJAS" TargetMode="External" /><Relationship Type="http://schemas.openxmlformats.org/officeDocument/2006/relationships/hyperlink" Id="rId43" Target="https://doi.org/10.1890/0012-9658(2000)081[2957:TEOTEO]2.0.CO;2" TargetMode="External" /><Relationship Type="http://schemas.openxmlformats.org/officeDocument/2006/relationships/hyperlink" Id="rId101" Target="https://doi.org/10.1890/ES12-00255.1" TargetMode="External" /><Relationship Type="http://schemas.openxmlformats.org/officeDocument/2006/relationships/hyperlink" Id="rId72" Target="https://doi.org/10.1898/1051-1733(2006)87[87:TVIOBT]2.0.CO;2" TargetMode="External" /><Relationship Type="http://schemas.openxmlformats.org/officeDocument/2006/relationships/hyperlink" Id="rId80" Target="https://doi.org/10.2307/1930439" TargetMode="External" /><Relationship Type="http://schemas.openxmlformats.org/officeDocument/2006/relationships/hyperlink" Id="rId51" Target="https://doi.org/10.2307/3543518" TargetMode="External" /><Relationship Type="http://schemas.openxmlformats.org/officeDocument/2006/relationships/hyperlink" Id="rId49" Target="https://doi.org/10.2307/3543618" TargetMode="External" /><Relationship Type="http://schemas.openxmlformats.org/officeDocument/2006/relationships/hyperlink" Id="rId97" Target="https://doi.org/10.32614/CRAN.package.hatchR" TargetMode="External" /><Relationship Type="http://schemas.openxmlformats.org/officeDocument/2006/relationships/hyperlink" Id="rId53"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5" Target="https://natuurtijdschriften.nl/pub/593065" TargetMode="External" /><Relationship Type="http://schemas.openxmlformats.org/officeDocument/2006/relationships/hyperlink" Id="rId66" Target="https://www.jstor.org/stable/3682086" TargetMode="External" /><Relationship Type="http://schemas.openxmlformats.org/officeDocument/2006/relationships/hyperlink" Id="rId105"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2025-07-18T18:17:41Z</dcterms:created>
  <dcterms:modified xsi:type="dcterms:W3CDTF">2025-07-18T18:17:41Z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