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Table 1. Model selection for linear mixed-effects models of Chinook salmon spawn timing.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Models evaluated sequentially: base structure, random slopes, temperature functional form, and interaction terms.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Model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ΔAIC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RMSE (days)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R² (marginal)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R² (conditional)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Notes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shd w:val="clear" w:color="auto" w:fill="EEEEEE"/>
            <w:tcMar>
              <w:top w:w="25" w:type="dxa"/>
            </w:tcMa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1. Additive models (random intercept only)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m16: temp_90 + stream + year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2.02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0.729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0.980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Selected base model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888888"/>
                <w:i/>
              </w:rPr>
              <w:t xml:space="default">m26: m16 + elevation†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888888"/>
                <w:i/>
              </w:rPr>
              <w:t xml:space="default">-117.1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888888"/>
                <w:i/>
              </w:rPr>
              <w:t xml:space="default">2.02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888888"/>
                <w:i/>
              </w:rPr>
              <w:t xml:space="default">0.785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888888"/>
                <w:i/>
              </w:rPr>
              <w:t xml:space="default">0.956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888888"/>
                <w:i/>
              </w:rPr>
              <w:t xml:space="default">Collinearity and signal captured by random structure; excluded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888888"/>
                <w:i/>
              </w:rPr>
              <w:t xml:space="default">m31: m26 + slope†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888888"/>
                <w:i/>
              </w:rPr>
              <w:t xml:space="default">-115.1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888888"/>
                <w:i/>
              </w:rPr>
              <w:t xml:space="default">2.02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888888"/>
                <w:i/>
              </w:rPr>
              <w:t xml:space="default">0.785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888888"/>
                <w:i/>
              </w:rPr>
              <w:t xml:space="default">0.956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888888"/>
                <w:i/>
              </w:rPr>
              <w:t xml:space="default">As m26, negligable improvement; excluded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shd w:val="clear" w:color="auto" w:fill="EEEEEE"/>
            <w:tcMar>
              <w:top w:w="25" w:type="dxa"/>
            </w:tcMa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2. Random slope evaluation (ML fit)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m16_rs: + random slopes for temp_90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1.78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0.713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0.984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ΔAIC = 507.1 vs. intercept-only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m16: random intercept only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507.1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shd w:val="clear" w:color="auto" w:fill="EEEEEE"/>
            <w:tcMar>
              <w:top w:w="25" w:type="dxa"/>
            </w:tcMa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3. Temperature functional form (ML fit)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Natural spline df =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1.72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0.609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0.990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Selected final functional form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Quadratic: temp_90 + temp_90²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138.9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888888"/>
                <w:i/>
              </w:rPr>
              <w:t xml:space="default">Natural spline df = 4†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888888"/>
                <w:i/>
              </w:rPr>
              <w:t xml:space="default">-65.8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888888"/>
                <w:i/>
              </w:rPr>
              <w:t xml:space="default">1.67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888888"/>
                <w:i/>
              </w:rPr>
              <w:t xml:space="default">0.483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888888"/>
                <w:i/>
              </w:rPr>
              <w:t xml:space="default">0.995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888888"/>
                <w:i/>
              </w:rPr>
              <w:t xml:space="default">Biologically implausible at high temperatures; excluded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shd w:val="clear" w:color="auto" w:fill="EEEEEE"/>
            <w:tcMar>
              <w:top w:w="25" w:type="dxa"/>
            </w:tcMa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4. Interaction terms (ML fit)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Final model: no interactions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1.72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0.609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0.990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888888"/>
                <w:i/>
              </w:rPr>
              <w:t xml:space="default">+ temperature × stream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888888"/>
                <w:i/>
              </w:rPr>
              <w:t xml:space="default">-275.8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888888"/>
                <w:i/>
              </w:rPr>
              <w:t xml:space="default">1.59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888888"/>
                <w:i/>
              </w:rPr>
              <w:t xml:space="default">0.629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888888"/>
                <w:i/>
              </w:rPr>
              <w:t xml:space="default">0.992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888888"/>
                <w:i/>
              </w:rPr>
              <w:t xml:space="default">Spline extrapolation unstable in data-sparse streams; excluded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888888"/>
                <w:i/>
              </w:rPr>
              <w:t xml:space="default">+ temperature × year†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888888"/>
                <w:i/>
              </w:rPr>
              <w:t xml:space="default">-1,481.7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888888"/>
                <w:i/>
              </w:rPr>
              <w:t xml:space="default">1.30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888888"/>
                <w:i/>
              </w:rPr>
              <w:t xml:space="default">0.653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888888"/>
                <w:i/>
              </w:rPr>
              <w:t xml:space="default">0.996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888888"/>
                <w:i/>
              </w:rPr>
              <w:t xml:space="default">Large AIC gain likely reflects year-specific data ranges, not biological interaction; excluded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ΔAIC computed relative to the reference (bold) model within each group. Negative values indicate better AIC than the reference. RMSE in days. R² marginal = fixed effects only; R² conditional = fixed + random effects.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default">Models marked † were excluded despite lower AIC due to elevation collinearity and signal captured by random effects structure; see Appendix A3.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2026-02-27T17:02:37Z</dcterms:created>
  <dcterms:modified xsi:type="dcterms:W3CDTF">2026-02-27T17:02:37Z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