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1. Model selection for linear mixed-effects models of Chinook salmon spawn timing.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Models evaluated sequentially: fixed-effect structure, random slope inclusion, and temperature functional form.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ΔAIC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(days)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R² (marginal)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R² (conditional)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EEEEE"/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1. Additive models (random intercept only)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m7: tempₐ + stream +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0.980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m5: tempₐ +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m4: tempₐ + stream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2,334.9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m1: tempₐ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2,375.7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m6: stream +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4,983.8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m3: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5,046.9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m2: stream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5,090.2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EEEEE"/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2. Random slope evaluation (REML fit)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m7_rs: + random slopes for tempₐ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0.985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m7: random intercept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EEEEE"/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3. Temperature functional form (ML fit)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Natural spline df =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0.990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Quadratic: tempₐ + tempₐ²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888888"/>
                <w:i/>
              </w:rPr>
              <w:t xml:space="default">Natural spline df = 4†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888888"/>
                <w:i/>
              </w:rPr>
              <w:t xml:space="default">-65.8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888888"/>
                <w:i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888888"/>
                <w:i/>
              </w:rPr>
              <w:t xml:space="default">0.483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888888"/>
                <w:i/>
              </w:rPr>
              <w:t xml:space="default">0.995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Models marked † were excluded due to biologically implausible predictions or overfitting; see Appendix A3.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ΔAIC computed relative to the reference (bold) model within each group. Negative values indicate better AIC than the reference. RMSE in days. R² marginal = fixed effects only; R² conditional = fixed + random effects.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2026-04-28T21:26:20Z</dcterms:created>
  <dcterms:modified xsi:type="dcterms:W3CDTF">2026-04-28T21:26:20Z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