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AB8286" w14:textId="77777777" w:rsidR="00F46AA9" w:rsidRPr="00627801" w:rsidRDefault="00F46AA9" w:rsidP="00627801">
      <w:pPr>
        <w:ind w:firstLine="0"/>
        <w:jc w:val="center"/>
        <w:rPr>
          <w:b/>
          <w:bCs/>
          <w:shd w:val="clear" w:color="auto" w:fill="FFFFFF"/>
        </w:rPr>
      </w:pPr>
    </w:p>
    <w:p w14:paraId="160C1629" w14:textId="77777777" w:rsidR="00F46AA9" w:rsidRPr="00627801" w:rsidRDefault="00F46AA9" w:rsidP="00627801">
      <w:pPr>
        <w:ind w:firstLine="0"/>
        <w:jc w:val="center"/>
        <w:rPr>
          <w:b/>
          <w:bCs/>
          <w:shd w:val="clear" w:color="auto" w:fill="FFFFFF"/>
        </w:rPr>
      </w:pPr>
    </w:p>
    <w:p w14:paraId="64B015CF" w14:textId="77777777" w:rsidR="00F46AA9" w:rsidRPr="00627801" w:rsidRDefault="00F46AA9" w:rsidP="00627801">
      <w:pPr>
        <w:ind w:firstLine="0"/>
        <w:jc w:val="center"/>
        <w:rPr>
          <w:b/>
          <w:bCs/>
          <w:shd w:val="clear" w:color="auto" w:fill="FFFFFF"/>
        </w:rPr>
      </w:pPr>
    </w:p>
    <w:p w14:paraId="382CD689" w14:textId="77777777" w:rsidR="00F46AA9" w:rsidRPr="00627801" w:rsidRDefault="00F46AA9" w:rsidP="00627801">
      <w:pPr>
        <w:ind w:firstLine="0"/>
        <w:jc w:val="center"/>
        <w:rPr>
          <w:b/>
          <w:bCs/>
          <w:shd w:val="clear" w:color="auto" w:fill="FFFFFF"/>
        </w:rPr>
      </w:pPr>
    </w:p>
    <w:p w14:paraId="3FE532D9" w14:textId="12A6ED87" w:rsidR="00C94382" w:rsidRPr="00627801" w:rsidRDefault="00526C77" w:rsidP="00627801">
      <w:pPr>
        <w:ind w:firstLine="0"/>
        <w:jc w:val="center"/>
        <w:rPr>
          <w:b/>
          <w:bCs/>
          <w:shd w:val="clear" w:color="auto" w:fill="FFFFFF"/>
        </w:rPr>
      </w:pPr>
      <w:r w:rsidRPr="00627801">
        <w:rPr>
          <w:b/>
          <w:bCs/>
          <w:shd w:val="clear" w:color="auto" w:fill="FFFFFF"/>
        </w:rPr>
        <w:t>Advanced Pathophysiology Module 2 Discussion</w:t>
      </w:r>
      <w:r w:rsidR="00316B8A" w:rsidRPr="00627801">
        <w:rPr>
          <w:b/>
          <w:bCs/>
          <w:shd w:val="clear" w:color="auto" w:fill="FFFFFF"/>
        </w:rPr>
        <w:t xml:space="preserve"> 2</w:t>
      </w:r>
    </w:p>
    <w:p w14:paraId="1D2CD014" w14:textId="77777777" w:rsidR="00F46AA9" w:rsidRPr="00627801" w:rsidRDefault="00F46AA9" w:rsidP="00627801">
      <w:pPr>
        <w:ind w:firstLine="0"/>
        <w:jc w:val="center"/>
        <w:rPr>
          <w:b/>
          <w:bCs/>
          <w:shd w:val="clear" w:color="auto" w:fill="FFFFFF"/>
        </w:rPr>
      </w:pPr>
    </w:p>
    <w:p w14:paraId="2082772E" w14:textId="77777777" w:rsidR="00F46AA9" w:rsidRDefault="00F46AA9" w:rsidP="00627801">
      <w:pPr>
        <w:ind w:firstLine="0"/>
        <w:jc w:val="center"/>
        <w:rPr>
          <w:b/>
          <w:bCs/>
          <w:shd w:val="clear" w:color="auto" w:fill="FFFFFF"/>
        </w:rPr>
      </w:pPr>
    </w:p>
    <w:p w14:paraId="750C5E7B" w14:textId="77777777" w:rsidR="00627801" w:rsidRPr="00627801" w:rsidRDefault="00627801" w:rsidP="00627801">
      <w:pPr>
        <w:ind w:firstLine="0"/>
        <w:jc w:val="center"/>
        <w:rPr>
          <w:b/>
          <w:bCs/>
          <w:shd w:val="clear" w:color="auto" w:fill="FFFFFF"/>
        </w:rPr>
      </w:pPr>
    </w:p>
    <w:p w14:paraId="48BBB22F" w14:textId="77777777" w:rsidR="00F46AA9" w:rsidRPr="00627801" w:rsidRDefault="00526C77" w:rsidP="00627801">
      <w:pPr>
        <w:ind w:firstLine="0"/>
        <w:jc w:val="center"/>
      </w:pPr>
      <w:r w:rsidRPr="00627801">
        <w:t xml:space="preserve">Student’s Name </w:t>
      </w:r>
    </w:p>
    <w:p w14:paraId="63AF9F65" w14:textId="77777777" w:rsidR="00F46AA9" w:rsidRPr="00627801" w:rsidRDefault="00526C77" w:rsidP="00627801">
      <w:pPr>
        <w:ind w:firstLine="0"/>
        <w:jc w:val="center"/>
      </w:pPr>
      <w:r w:rsidRPr="00627801">
        <w:t>University</w:t>
      </w:r>
    </w:p>
    <w:p w14:paraId="6382DC3A" w14:textId="77777777" w:rsidR="00F46AA9" w:rsidRPr="00627801" w:rsidRDefault="00526C77" w:rsidP="00627801">
      <w:pPr>
        <w:ind w:firstLine="0"/>
        <w:jc w:val="center"/>
      </w:pPr>
      <w:r w:rsidRPr="00627801">
        <w:t>Course</w:t>
      </w:r>
    </w:p>
    <w:p w14:paraId="2E47848C" w14:textId="77777777" w:rsidR="00F46AA9" w:rsidRPr="00627801" w:rsidRDefault="00526C77" w:rsidP="00627801">
      <w:pPr>
        <w:ind w:firstLine="0"/>
        <w:jc w:val="center"/>
      </w:pPr>
      <w:r w:rsidRPr="00627801">
        <w:t>Professor</w:t>
      </w:r>
    </w:p>
    <w:p w14:paraId="08B4C2C8" w14:textId="77777777" w:rsidR="00F46AA9" w:rsidRPr="00627801" w:rsidRDefault="00526C77" w:rsidP="00627801">
      <w:pPr>
        <w:ind w:firstLine="0"/>
        <w:jc w:val="center"/>
      </w:pPr>
      <w:r w:rsidRPr="00627801">
        <w:t>Date</w:t>
      </w:r>
    </w:p>
    <w:p w14:paraId="727B3F85" w14:textId="77777777" w:rsidR="00F46AA9" w:rsidRPr="00627801" w:rsidRDefault="00F46AA9" w:rsidP="00627801">
      <w:pPr>
        <w:ind w:firstLine="0"/>
        <w:jc w:val="center"/>
        <w:rPr>
          <w:b/>
          <w:bCs/>
          <w:shd w:val="clear" w:color="auto" w:fill="FFFFFF"/>
        </w:rPr>
      </w:pPr>
    </w:p>
    <w:p w14:paraId="097D3F15" w14:textId="77777777" w:rsidR="00F46AA9" w:rsidRPr="00627801" w:rsidRDefault="00526C77" w:rsidP="00627801">
      <w:pPr>
        <w:ind w:firstLine="0"/>
        <w:jc w:val="center"/>
        <w:rPr>
          <w:b/>
          <w:bCs/>
          <w:shd w:val="clear" w:color="auto" w:fill="FFFFFF"/>
        </w:rPr>
      </w:pPr>
      <w:r w:rsidRPr="00627801">
        <w:rPr>
          <w:b/>
          <w:bCs/>
          <w:shd w:val="clear" w:color="auto" w:fill="FFFFFF"/>
        </w:rPr>
        <w:br w:type="page"/>
      </w:r>
    </w:p>
    <w:p w14:paraId="28783CAB" w14:textId="182CFCEB" w:rsidR="00592651" w:rsidRPr="00627801" w:rsidRDefault="00526C77" w:rsidP="00627801">
      <w:pPr>
        <w:tabs>
          <w:tab w:val="left" w:pos="1995"/>
          <w:tab w:val="center" w:pos="4680"/>
        </w:tabs>
        <w:ind w:firstLine="0"/>
        <w:jc w:val="center"/>
        <w:rPr>
          <w:b/>
          <w:bCs/>
        </w:rPr>
      </w:pPr>
      <w:r w:rsidRPr="00627801">
        <w:rPr>
          <w:b/>
          <w:bCs/>
        </w:rPr>
        <w:lastRenderedPageBreak/>
        <w:t>Hematopoietic</w:t>
      </w:r>
    </w:p>
    <w:p w14:paraId="56577246" w14:textId="76918DD7" w:rsidR="00CE1E44" w:rsidRPr="00627801" w:rsidRDefault="00D86C67" w:rsidP="00627801">
      <w:pPr>
        <w:tabs>
          <w:tab w:val="left" w:pos="1995"/>
          <w:tab w:val="center" w:pos="4680"/>
        </w:tabs>
        <w:ind w:firstLine="0"/>
        <w:rPr>
          <w:b/>
          <w:bCs/>
        </w:rPr>
      </w:pPr>
      <w:r w:rsidRPr="00627801">
        <w:rPr>
          <w:b/>
          <w:bCs/>
        </w:rPr>
        <w:t>Contributing Factors for Iron Deficiency Anemia</w:t>
      </w:r>
    </w:p>
    <w:p w14:paraId="1C0E53D9" w14:textId="19AB0AEF" w:rsidR="00D86C67" w:rsidRPr="00627801" w:rsidRDefault="00526C77" w:rsidP="00627801">
      <w:r w:rsidRPr="00627801">
        <w:t xml:space="preserve"> J.D., a 37-year-old woman, exhibits multiple risk factors for </w:t>
      </w:r>
      <w:r w:rsidR="00316B8A" w:rsidRPr="00627801">
        <w:t>developing</w:t>
      </w:r>
      <w:r w:rsidRPr="00627801">
        <w:t xml:space="preserve"> iron deficiency anemia</w:t>
      </w:r>
      <w:r w:rsidR="002A20B3" w:rsidRPr="00627801">
        <w:t xml:space="preserve"> (Wiafe et al., 2023)</w:t>
      </w:r>
      <w:r w:rsidRPr="00627801">
        <w:t xml:space="preserve">. She has been experiencing intermenstrual bleeding and menorrhagia for two months, resulting in chronic blood loss and subsequent iron depletion. Moreover, her recent pregnancy history, with four pregnancies in </w:t>
      </w:r>
      <w:r w:rsidRPr="00627801">
        <w:t xml:space="preserve">four years, has likely heightened her iron requirements due to the </w:t>
      </w:r>
      <w:r w:rsidR="00316B8A" w:rsidRPr="00627801">
        <w:t>fetus's and placenta's developmental needs</w:t>
      </w:r>
      <w:r w:rsidRPr="00627801">
        <w:t>.</w:t>
      </w:r>
    </w:p>
    <w:p w14:paraId="6CB379AE" w14:textId="3FE4C147" w:rsidR="00D86C67" w:rsidRPr="00627801" w:rsidRDefault="00526C77" w:rsidP="00627801">
      <w:pPr>
        <w:ind w:firstLine="0"/>
        <w:rPr>
          <w:b/>
          <w:bCs/>
        </w:rPr>
      </w:pPr>
      <w:r w:rsidRPr="00627801">
        <w:rPr>
          <w:b/>
          <w:bCs/>
        </w:rPr>
        <w:t xml:space="preserve">Why </w:t>
      </w:r>
      <w:r w:rsidRPr="00627801">
        <w:rPr>
          <w:b/>
          <w:bCs/>
          <w:kern w:val="0"/>
          <w14:ligatures w14:val="none"/>
        </w:rPr>
        <w:t>Constipation and Dehydration</w:t>
      </w:r>
    </w:p>
    <w:p w14:paraId="5FF68E95" w14:textId="54C6D7A2" w:rsidR="00CE1E44" w:rsidRPr="00627801" w:rsidRDefault="00526C77" w:rsidP="00627801">
      <w:r w:rsidRPr="00627801">
        <w:t xml:space="preserve">J.D.'s constipation and mild incontinence can be attributed to multiple factors. The utilization of diuretics in </w:t>
      </w:r>
      <w:r w:rsidR="00316B8A" w:rsidRPr="00627801">
        <w:t xml:space="preserve">managing hypertension may lead to heightened urinary frequency and slight dehydration, which can potentially contribute to </w:t>
      </w:r>
      <w:r w:rsidRPr="00627801">
        <w:t>constipation</w:t>
      </w:r>
      <w:r w:rsidR="002A20B3" w:rsidRPr="00627801">
        <w:t xml:space="preserve"> (Arumugham &amp; Shahin, 2020)</w:t>
      </w:r>
      <w:r w:rsidRPr="00627801">
        <w:t>. The recent pregnancies she underwent may have impacted her pelvic floor muscles, potentially leading to the development of mild incontinence. Moreover, her persistent iron deficiency can affect the muscular tone of her gastrointestinal</w:t>
      </w:r>
      <w:r w:rsidRPr="00627801">
        <w:t xml:space="preserve"> tract, resulting in constipation.</w:t>
      </w:r>
    </w:p>
    <w:p w14:paraId="0B8C3588" w14:textId="3F9B4888" w:rsidR="00CE1E44" w:rsidRPr="00627801" w:rsidRDefault="00526C77" w:rsidP="00627801">
      <w:pPr>
        <w:ind w:firstLine="0"/>
        <w:rPr>
          <w:b/>
          <w:bCs/>
        </w:rPr>
      </w:pPr>
      <w:r w:rsidRPr="00627801">
        <w:rPr>
          <w:b/>
          <w:bCs/>
          <w:kern w:val="0"/>
          <w14:ligatures w14:val="none"/>
        </w:rPr>
        <w:t>Importance of Vitamin B12 and Folic Acid in Erythropoiesis</w:t>
      </w:r>
    </w:p>
    <w:p w14:paraId="7AC8BD52" w14:textId="6DD44C70" w:rsidR="00B47E7E" w:rsidRPr="00627801" w:rsidRDefault="00526C77" w:rsidP="00627801">
      <w:r w:rsidRPr="00627801">
        <w:t xml:space="preserve">Vitamin B12 and folic acid are essential for erythropoiesis, the </w:t>
      </w:r>
      <w:r w:rsidR="00316B8A" w:rsidRPr="00627801">
        <w:t>red blood cell production process</w:t>
      </w:r>
      <w:r w:rsidRPr="00627801">
        <w:t xml:space="preserve">. Both vitamins are </w:t>
      </w:r>
      <w:r w:rsidR="00316B8A" w:rsidRPr="00627801">
        <w:t>necessary</w:t>
      </w:r>
      <w:r w:rsidRPr="00627801">
        <w:t xml:space="preserve"> for DNA synthesis and cell maturation</w:t>
      </w:r>
      <w:r w:rsidR="002A20B3" w:rsidRPr="00627801">
        <w:t xml:space="preserve"> (Wiafe et al., 2023)</w:t>
      </w:r>
      <w:r w:rsidRPr="00627801">
        <w:t>. Deficiency in either vitamin can lead to megaloblastic anemia, characterized by the production of abnormally large and immature red blood cells.</w:t>
      </w:r>
    </w:p>
    <w:p w14:paraId="0213F432" w14:textId="37AFBA41" w:rsidR="00B47E7E" w:rsidRPr="00627801" w:rsidRDefault="00526C77" w:rsidP="00627801">
      <w:pPr>
        <w:ind w:firstLine="0"/>
        <w:rPr>
          <w:b/>
          <w:bCs/>
        </w:rPr>
      </w:pPr>
      <w:r w:rsidRPr="00627801">
        <w:rPr>
          <w:b/>
          <w:bCs/>
          <w:kern w:val="0"/>
          <w14:ligatures w14:val="none"/>
        </w:rPr>
        <w:t>Clinical Symptoms of Iron Deficiency Anemia</w:t>
      </w:r>
    </w:p>
    <w:p w14:paraId="57CF5A6D" w14:textId="56C1DFE6" w:rsidR="00B47E7E" w:rsidRPr="00627801" w:rsidRDefault="00526C77" w:rsidP="00627801">
      <w:r w:rsidRPr="00627801">
        <w:t>J.D. d</w:t>
      </w:r>
      <w:r w:rsidRPr="00627801">
        <w:t xml:space="preserve">isplays clinical symptoms indicative of iron deficiency anemia, resulting from </w:t>
      </w:r>
      <w:r w:rsidR="00316B8A" w:rsidRPr="00627801">
        <w:t xml:space="preserve">the </w:t>
      </w:r>
      <w:r w:rsidRPr="00627801">
        <w:t>reduced oxygen-carrying capacity of her blood. Fatigue and weakness often occur due to compromised oxygen transportation. The insufficiency is apparent through pallor in her</w:t>
      </w:r>
      <w:r w:rsidRPr="00627801">
        <w:t xml:space="preserve"> skin and </w:t>
      </w:r>
      <w:r w:rsidRPr="00627801">
        <w:lastRenderedPageBreak/>
        <w:t>mucous membranes. Tachycardia, a heightened heart rate, arises in response to compensate for decreased oxygen delivery. Breathlessness occurs when the body struggles to provide adequate oxygen to its tissues. The condition also causes cold extrem</w:t>
      </w:r>
      <w:r w:rsidRPr="00627801">
        <w:t>ities due to insufficient oxygen supply to peripheral regions.</w:t>
      </w:r>
    </w:p>
    <w:p w14:paraId="296096D4" w14:textId="4C3EC390" w:rsidR="00B47E7E" w:rsidRPr="00627801" w:rsidRDefault="00526C77" w:rsidP="00627801">
      <w:pPr>
        <w:ind w:firstLine="0"/>
        <w:rPr>
          <w:b/>
          <w:bCs/>
        </w:rPr>
      </w:pPr>
      <w:r w:rsidRPr="00627801">
        <w:rPr>
          <w:b/>
          <w:bCs/>
          <w:kern w:val="0"/>
          <w14:ligatures w14:val="none"/>
        </w:rPr>
        <w:t>Expected Signs of Iron Deficiency Anemia</w:t>
      </w:r>
    </w:p>
    <w:p w14:paraId="63CA4E90" w14:textId="3121A6D5" w:rsidR="00D86C67" w:rsidRPr="00627801" w:rsidRDefault="00526C77" w:rsidP="00627801">
      <w:r w:rsidRPr="00627801">
        <w:t>J.D.'s case may reveal laboratory findings that can help anticipate signs of iron deficiency anemia. The patient's hemoglobin and hematocrit levels, mea</w:t>
      </w:r>
      <w:r w:rsidRPr="00627801">
        <w:t>suring 10.2 g/dL and 30.8%</w:t>
      </w:r>
      <w:r w:rsidR="00316B8A" w:rsidRPr="00627801">
        <w:t>,</w:t>
      </w:r>
      <w:r w:rsidRPr="00627801">
        <w:t xml:space="preserve"> respectively, are suboptimal. That implies a scarcity of iron for hemoglobin synthesis. A </w:t>
      </w:r>
      <w:r w:rsidR="00316B8A" w:rsidRPr="00627801">
        <w:t xml:space="preserve">9 ng/Dl ferritin level </w:t>
      </w:r>
      <w:r w:rsidRPr="00627801">
        <w:t>suggests a significant depletion of iron reserves</w:t>
      </w:r>
      <w:r w:rsidR="002A20B3" w:rsidRPr="00627801">
        <w:t xml:space="preserve"> (Wiafe et al., 2023)</w:t>
      </w:r>
      <w:r w:rsidRPr="00627801">
        <w:t xml:space="preserve">. </w:t>
      </w:r>
      <w:r w:rsidR="00592651" w:rsidRPr="00627801">
        <w:t xml:space="preserve">Her red blood cells' paleness and reduced size </w:t>
      </w:r>
      <w:r w:rsidRPr="00627801">
        <w:t>(microcytic and hypochromic) indicate iron deficiency anemia.</w:t>
      </w:r>
    </w:p>
    <w:p w14:paraId="51484771" w14:textId="07C66C67" w:rsidR="00D86C67" w:rsidRPr="00627801" w:rsidRDefault="00526C77" w:rsidP="00627801">
      <w:pPr>
        <w:ind w:firstLine="0"/>
        <w:rPr>
          <w:b/>
          <w:bCs/>
        </w:rPr>
      </w:pPr>
      <w:r w:rsidRPr="00627801">
        <w:rPr>
          <w:b/>
          <w:bCs/>
        </w:rPr>
        <w:t>Recommendations and Treatments</w:t>
      </w:r>
    </w:p>
    <w:p w14:paraId="2C06D6FF" w14:textId="5F22B043" w:rsidR="00D434D0" w:rsidRPr="00627801" w:rsidRDefault="00526C77" w:rsidP="00627801">
      <w:r w:rsidRPr="00627801">
        <w:t>J.D.'s management requires a holistic strategy that addresses multiple facets.</w:t>
      </w:r>
    </w:p>
    <w:p w14:paraId="57CCB6FA" w14:textId="50D0F5E5" w:rsidR="00D434D0" w:rsidRPr="00627801" w:rsidRDefault="00526C77" w:rsidP="00627801">
      <w:r w:rsidRPr="00627801">
        <w:rPr>
          <w:b/>
          <w:bCs/>
          <w:i/>
          <w:iCs/>
        </w:rPr>
        <w:t>Iron Supplementation</w:t>
      </w:r>
      <w:r w:rsidRPr="00627801">
        <w:t>: Administering iron supplements is essential to address her</w:t>
      </w:r>
      <w:r w:rsidRPr="00627801">
        <w:t xml:space="preserve"> depleted iron reserves and alleviate the symptoms of anemia.</w:t>
      </w:r>
    </w:p>
    <w:p w14:paraId="4F2FA908" w14:textId="00C5F116" w:rsidR="00D434D0" w:rsidRPr="00627801" w:rsidRDefault="00526C77" w:rsidP="00627801">
      <w:r w:rsidRPr="00627801">
        <w:rPr>
          <w:b/>
          <w:bCs/>
          <w:i/>
          <w:iCs/>
        </w:rPr>
        <w:t>Dietary Adjustments</w:t>
      </w:r>
      <w:r w:rsidRPr="00627801">
        <w:t>: Advising J.D. to include iron-rich foods like lean meats, fortified cereals, beans, and lentils can effectively boost her iron levels.</w:t>
      </w:r>
    </w:p>
    <w:p w14:paraId="7BA09700" w14:textId="51B85E33" w:rsidR="00D434D0" w:rsidRPr="00627801" w:rsidRDefault="00526C77" w:rsidP="00627801">
      <w:r w:rsidRPr="00627801">
        <w:rPr>
          <w:b/>
          <w:bCs/>
          <w:i/>
          <w:iCs/>
          <w:kern w:val="0"/>
          <w14:ligatures w14:val="none"/>
        </w:rPr>
        <w:t>Address Menstrual Bleeding</w:t>
      </w:r>
      <w:r w:rsidRPr="00627801">
        <w:rPr>
          <w:b/>
          <w:bCs/>
          <w:kern w:val="0"/>
          <w14:ligatures w14:val="none"/>
        </w:rPr>
        <w:t>:</w:t>
      </w:r>
      <w:r w:rsidRPr="00627801">
        <w:rPr>
          <w:kern w:val="0"/>
          <w14:ligatures w14:val="none"/>
        </w:rPr>
        <w:t xml:space="preserve"> </w:t>
      </w:r>
      <w:r w:rsidRPr="00627801">
        <w:t xml:space="preserve">Analyzing </w:t>
      </w:r>
      <w:r w:rsidRPr="00627801">
        <w:t xml:space="preserve">the origins of her excessive menstrual bleeding is crucial </w:t>
      </w:r>
      <w:r w:rsidR="00316B8A" w:rsidRPr="00627801">
        <w:t>to</w:t>
      </w:r>
      <w:r w:rsidRPr="00627801">
        <w:t xml:space="preserve"> </w:t>
      </w:r>
      <w:r w:rsidR="00316B8A" w:rsidRPr="00627801">
        <w:t>implementing</w:t>
      </w:r>
      <w:r w:rsidRPr="00627801">
        <w:t xml:space="preserve"> effective strategies to reduce iron depletion.</w:t>
      </w:r>
    </w:p>
    <w:p w14:paraId="23C449A5" w14:textId="499EE944" w:rsidR="00D434D0" w:rsidRPr="00627801" w:rsidRDefault="00526C77" w:rsidP="00627801">
      <w:r w:rsidRPr="00627801">
        <w:rPr>
          <w:b/>
          <w:bCs/>
          <w:i/>
          <w:iCs/>
          <w:kern w:val="0"/>
          <w14:ligatures w14:val="none"/>
        </w:rPr>
        <w:t>Vitamin Assessment</w:t>
      </w:r>
      <w:r w:rsidRPr="00627801">
        <w:rPr>
          <w:b/>
          <w:bCs/>
          <w:kern w:val="0"/>
          <w14:ligatures w14:val="none"/>
        </w:rPr>
        <w:t>:</w:t>
      </w:r>
      <w:r w:rsidR="00316B8A" w:rsidRPr="00627801">
        <w:rPr>
          <w:b/>
          <w:bCs/>
          <w:kern w:val="0"/>
          <w14:ligatures w14:val="none"/>
        </w:rPr>
        <w:t xml:space="preserve"> </w:t>
      </w:r>
      <w:r w:rsidRPr="00627801">
        <w:t>Assessing J.D.'s Vitamin B12 and folic acid levels is crucial due to the potential risk of deficiencies commonly a</w:t>
      </w:r>
      <w:r w:rsidRPr="00627801">
        <w:t>ssociated with anemia.</w:t>
      </w:r>
    </w:p>
    <w:p w14:paraId="3C49F5F0" w14:textId="77777777" w:rsidR="00D434D0" w:rsidRPr="00627801" w:rsidRDefault="00526C77" w:rsidP="00627801">
      <w:r w:rsidRPr="00627801">
        <w:rPr>
          <w:b/>
          <w:bCs/>
          <w:i/>
          <w:iCs/>
        </w:rPr>
        <w:t>Medication Review</w:t>
      </w:r>
      <w:r w:rsidRPr="00627801">
        <w:t>: A comprehensive evaluation of J.D.'s NSAID usage is necessary, considering alternative pain management methods that do not increase the likelihood of gastrointestinal bleeding.</w:t>
      </w:r>
    </w:p>
    <w:p w14:paraId="7C6CDE76" w14:textId="77777777" w:rsidR="00D434D0" w:rsidRPr="00627801" w:rsidRDefault="00D434D0" w:rsidP="00627801"/>
    <w:p w14:paraId="0C6C3925" w14:textId="33AD7E2D" w:rsidR="00FD5351" w:rsidRPr="00627801" w:rsidRDefault="00526C77" w:rsidP="00627801">
      <w:r w:rsidRPr="00627801">
        <w:rPr>
          <w:b/>
          <w:bCs/>
          <w:i/>
          <w:iCs/>
        </w:rPr>
        <w:t>Patient Education</w:t>
      </w:r>
      <w:r w:rsidRPr="00627801">
        <w:rPr>
          <w:b/>
          <w:bCs/>
        </w:rPr>
        <w:t>:</w:t>
      </w:r>
      <w:r w:rsidRPr="00627801">
        <w:t xml:space="preserve"> It is imperative to educate J.D. about the importance of consistent iron supplementation, potential side effects to watch out for, and the significance of making dietary adjustments.</w:t>
      </w:r>
    </w:p>
    <w:p w14:paraId="7FA6F2CB" w14:textId="7067C14C" w:rsidR="00F46AA9" w:rsidRPr="00627801" w:rsidRDefault="00526C77" w:rsidP="00627801">
      <w:r w:rsidRPr="00627801">
        <w:rPr>
          <w:b/>
          <w:bCs/>
          <w:i/>
          <w:iCs/>
        </w:rPr>
        <w:t>Monitoring and follow-up</w:t>
      </w:r>
      <w:r w:rsidRPr="00627801">
        <w:t xml:space="preserve"> are essential for evaluating the efficacy of he</w:t>
      </w:r>
      <w:r w:rsidRPr="00627801">
        <w:t xml:space="preserve">r treatment and making appropriate modifications in response to any changes in her condition. </w:t>
      </w:r>
      <w:r w:rsidR="00316B8A" w:rsidRPr="00627801">
        <w:t>Monitoring</w:t>
      </w:r>
      <w:r w:rsidRPr="00627801">
        <w:t xml:space="preserve"> hemoglobin, hematocrit, and ferritin levels is crucial for this objective.</w:t>
      </w:r>
    </w:p>
    <w:p w14:paraId="587BD083" w14:textId="77777777" w:rsidR="00592651" w:rsidRPr="00627801" w:rsidRDefault="00526C77" w:rsidP="00627801">
      <w:pPr>
        <w:ind w:firstLine="0"/>
        <w:jc w:val="center"/>
        <w:rPr>
          <w:rFonts w:eastAsia="Times New Roman"/>
          <w:b/>
          <w:bCs/>
          <w:kern w:val="0"/>
          <w14:ligatures w14:val="none"/>
        </w:rPr>
      </w:pPr>
      <w:r w:rsidRPr="00627801">
        <w:rPr>
          <w:rFonts w:eastAsia="Times New Roman"/>
          <w:b/>
          <w:bCs/>
          <w:kern w:val="0"/>
          <w14:ligatures w14:val="none"/>
        </w:rPr>
        <w:br w:type="page"/>
      </w:r>
    </w:p>
    <w:p w14:paraId="76D294CE" w14:textId="402B4ED3" w:rsidR="00592651" w:rsidRPr="00627801" w:rsidRDefault="00526C77" w:rsidP="00627801">
      <w:pPr>
        <w:ind w:firstLine="0"/>
        <w:jc w:val="center"/>
        <w:rPr>
          <w:rFonts w:eastAsia="Times New Roman"/>
          <w:b/>
          <w:bCs/>
          <w:kern w:val="0"/>
          <w14:ligatures w14:val="none"/>
        </w:rPr>
      </w:pPr>
      <w:r w:rsidRPr="00627801">
        <w:rPr>
          <w:rFonts w:eastAsia="Times New Roman"/>
          <w:b/>
          <w:bCs/>
          <w:kern w:val="0"/>
          <w14:ligatures w14:val="none"/>
        </w:rPr>
        <w:lastRenderedPageBreak/>
        <w:t>References</w:t>
      </w:r>
    </w:p>
    <w:p w14:paraId="07A3A6CA" w14:textId="77777777" w:rsidR="00592651" w:rsidRPr="00627801" w:rsidRDefault="00526C77" w:rsidP="00627801">
      <w:pPr>
        <w:ind w:left="720" w:hanging="720"/>
        <w:rPr>
          <w:rFonts w:eastAsia="Times New Roman"/>
          <w:kern w:val="0"/>
          <w14:ligatures w14:val="none"/>
        </w:rPr>
      </w:pPr>
      <w:r w:rsidRPr="00627801">
        <w:rPr>
          <w:rFonts w:eastAsia="Times New Roman"/>
          <w:kern w:val="0"/>
          <w14:ligatures w14:val="none"/>
        </w:rPr>
        <w:t xml:space="preserve">Arumugham, V. B., &amp; Shahin, M. H. (2020). </w:t>
      </w:r>
      <w:r w:rsidRPr="00627801">
        <w:rPr>
          <w:rFonts w:eastAsia="Times New Roman"/>
          <w:i/>
          <w:iCs/>
          <w:kern w:val="0"/>
          <w14:ligatures w14:val="none"/>
        </w:rPr>
        <w:t>Therapeutic Uses Of D</w:t>
      </w:r>
      <w:r w:rsidRPr="00627801">
        <w:rPr>
          <w:rFonts w:eastAsia="Times New Roman"/>
          <w:i/>
          <w:iCs/>
          <w:kern w:val="0"/>
          <w14:ligatures w14:val="none"/>
        </w:rPr>
        <w:t>iuretic Agents</w:t>
      </w:r>
      <w:r w:rsidRPr="00627801">
        <w:rPr>
          <w:rFonts w:eastAsia="Times New Roman"/>
          <w:kern w:val="0"/>
          <w14:ligatures w14:val="none"/>
        </w:rPr>
        <w:t>. PubMed; StatPearls Publishing. https://www.ncbi.nlm.nih.gov/books/NBK557838/</w:t>
      </w:r>
    </w:p>
    <w:p w14:paraId="2C4241EA" w14:textId="77777777" w:rsidR="00592651" w:rsidRPr="00627801" w:rsidRDefault="00526C77" w:rsidP="00627801">
      <w:pPr>
        <w:ind w:left="720" w:hanging="720"/>
        <w:rPr>
          <w:rFonts w:eastAsia="Times New Roman"/>
          <w:kern w:val="0"/>
          <w14:ligatures w14:val="none"/>
        </w:rPr>
      </w:pPr>
      <w:r w:rsidRPr="00627801">
        <w:rPr>
          <w:rFonts w:eastAsia="Times New Roman"/>
          <w:kern w:val="0"/>
          <w14:ligatures w14:val="none"/>
        </w:rPr>
        <w:t xml:space="preserve">Wiafe, M. A., Ayenu, J., &amp; Eli-Cophie, D. (2023). A Review of the Risk Factors for Iron Deficiency Anaemia among Adolescents in Developing Countries. </w:t>
      </w:r>
      <w:r w:rsidRPr="00627801">
        <w:rPr>
          <w:rFonts w:eastAsia="Times New Roman"/>
          <w:i/>
          <w:iCs/>
          <w:kern w:val="0"/>
          <w14:ligatures w14:val="none"/>
        </w:rPr>
        <w:t>Anemia</w:t>
      </w:r>
      <w:r w:rsidRPr="00627801">
        <w:rPr>
          <w:rFonts w:eastAsia="Times New Roman"/>
          <w:kern w:val="0"/>
          <w14:ligatures w14:val="none"/>
        </w:rPr>
        <w:t xml:space="preserve">, </w:t>
      </w:r>
      <w:r w:rsidRPr="00627801">
        <w:rPr>
          <w:rFonts w:eastAsia="Times New Roman"/>
          <w:i/>
          <w:iCs/>
          <w:kern w:val="0"/>
          <w14:ligatures w14:val="none"/>
        </w:rPr>
        <w:t>2023</w:t>
      </w:r>
      <w:r w:rsidRPr="00627801">
        <w:rPr>
          <w:rFonts w:eastAsia="Times New Roman"/>
          <w:kern w:val="0"/>
          <w14:ligatures w14:val="none"/>
        </w:rPr>
        <w:t>,</w:t>
      </w:r>
      <w:r w:rsidRPr="00627801">
        <w:rPr>
          <w:rFonts w:eastAsia="Times New Roman"/>
          <w:kern w:val="0"/>
          <w14:ligatures w14:val="none"/>
        </w:rPr>
        <w:t xml:space="preserve"> 1–11. </w:t>
      </w:r>
      <w:hyperlink r:id="rId6" w:history="1">
        <w:r w:rsidRPr="00627801">
          <w:rPr>
            <w:rStyle w:val="Hyperlink"/>
            <w:rFonts w:eastAsia="Times New Roman"/>
            <w:kern w:val="0"/>
            <w14:ligatures w14:val="none"/>
          </w:rPr>
          <w:t>https://doi.org/10.1155/2023/6406286</w:t>
        </w:r>
      </w:hyperlink>
    </w:p>
    <w:p w14:paraId="767EBAD6" w14:textId="77777777" w:rsidR="00592651" w:rsidRPr="00627801" w:rsidRDefault="00592651" w:rsidP="00627801"/>
    <w:p w14:paraId="524257B5" w14:textId="77777777" w:rsidR="00C94382" w:rsidRPr="00627801" w:rsidRDefault="00C94382" w:rsidP="00627801"/>
    <w:p w14:paraId="3CD12989" w14:textId="77777777" w:rsidR="00592651" w:rsidRPr="00627801" w:rsidRDefault="00526C77" w:rsidP="00627801">
      <w:pPr>
        <w:ind w:firstLine="0"/>
        <w:jc w:val="center"/>
        <w:rPr>
          <w:b/>
          <w:bCs/>
        </w:rPr>
      </w:pPr>
      <w:r w:rsidRPr="00627801">
        <w:rPr>
          <w:b/>
          <w:bCs/>
        </w:rPr>
        <w:br w:type="page"/>
      </w:r>
    </w:p>
    <w:p w14:paraId="42636AD3" w14:textId="5DEBDEDA" w:rsidR="002A20B3" w:rsidRPr="00627801" w:rsidRDefault="00526C77" w:rsidP="00627801">
      <w:pPr>
        <w:ind w:firstLine="0"/>
        <w:jc w:val="center"/>
        <w:rPr>
          <w:b/>
          <w:bCs/>
        </w:rPr>
      </w:pPr>
      <w:r w:rsidRPr="00627801">
        <w:rPr>
          <w:b/>
          <w:bCs/>
        </w:rPr>
        <w:lastRenderedPageBreak/>
        <w:t>Cardiovascular</w:t>
      </w:r>
    </w:p>
    <w:p w14:paraId="30CED548" w14:textId="10B0B385" w:rsidR="002A20B3" w:rsidRPr="00627801" w:rsidRDefault="00526C77" w:rsidP="00627801">
      <w:pPr>
        <w:ind w:firstLine="0"/>
        <w:rPr>
          <w:b/>
          <w:bCs/>
        </w:rPr>
      </w:pPr>
      <w:r w:rsidRPr="00627801">
        <w:rPr>
          <w:b/>
          <w:bCs/>
        </w:rPr>
        <w:t>Modifiable and Non-Modifiable Risk Factors for Coronary Artery Disease (CAD) and Acute Myocardial Infarction (AMI)</w:t>
      </w:r>
    </w:p>
    <w:p w14:paraId="4EE3DD17" w14:textId="595DF97E" w:rsidR="00DC3FD9" w:rsidRPr="00627801" w:rsidRDefault="00526C77" w:rsidP="00627801">
      <w:r w:rsidRPr="00627801">
        <w:t xml:space="preserve">Non-modifiable risk </w:t>
      </w:r>
      <w:r w:rsidRPr="00627801">
        <w:t>factors encompass age (Mr. W.G. is 53), gender (men are generally more susceptible), and family history of CAD or AMI. The age and gender of Mr. W.G. are factors that influence his risk profile. Modifiable risk factors are subject to alteration through lif</w:t>
      </w:r>
      <w:r w:rsidRPr="00627801">
        <w:t>estyle modifications or medical interventions</w:t>
      </w:r>
      <w:r w:rsidR="007B2093" w:rsidRPr="00627801">
        <w:t xml:space="preserve"> (Ojha &amp; Dhamoon, 2021)</w:t>
      </w:r>
      <w:r w:rsidRPr="00627801">
        <w:t xml:space="preserve">. The risk factors for Mr. W.G.'s health </w:t>
      </w:r>
      <w:r w:rsidR="00316B8A" w:rsidRPr="00627801">
        <w:t>include</w:t>
      </w:r>
      <w:r w:rsidRPr="00627801">
        <w:t xml:space="preserve"> uncontrolled hypertension, elevated cholesterol levels (hyperlipidemia), smoking, diabetes, obesity, a sedentary lifestyle, and an unhealth</w:t>
      </w:r>
      <w:r w:rsidRPr="00627801">
        <w:t>y diet characterized by overeating and consuming large meals.</w:t>
      </w:r>
    </w:p>
    <w:p w14:paraId="16A5A4DB" w14:textId="7EC8BBC7" w:rsidR="00DC3FD9" w:rsidRPr="00627801" w:rsidRDefault="00526C77" w:rsidP="00627801">
      <w:pPr>
        <w:ind w:firstLine="0"/>
        <w:rPr>
          <w:b/>
          <w:bCs/>
        </w:rPr>
      </w:pPr>
      <w:r w:rsidRPr="00627801">
        <w:rPr>
          <w:b/>
          <w:bCs/>
        </w:rPr>
        <w:t>Anticipated EKG results for Mr. W.G. and their correlation with an acute coronary event</w:t>
      </w:r>
    </w:p>
    <w:p w14:paraId="431343F3" w14:textId="65A0A9A2" w:rsidR="00DC3FD9" w:rsidRPr="00627801" w:rsidRDefault="00526C77" w:rsidP="00627801">
      <w:r w:rsidRPr="00627801">
        <w:t xml:space="preserve"> </w:t>
      </w:r>
      <w:r w:rsidR="00316B8A" w:rsidRPr="00627801">
        <w:t xml:space="preserve">The </w:t>
      </w:r>
      <w:r w:rsidRPr="00627801">
        <w:t xml:space="preserve">ST-segment elevation is a notable indicator </w:t>
      </w:r>
      <w:r w:rsidR="00316B8A" w:rsidRPr="00627801">
        <w:t>characterized</w:t>
      </w:r>
      <w:r w:rsidRPr="00627801">
        <w:t xml:space="preserve"> by the </w:t>
      </w:r>
      <w:r w:rsidR="00316B8A" w:rsidRPr="00627801">
        <w:t>height</w:t>
      </w:r>
      <w:r w:rsidRPr="00627801">
        <w:t xml:space="preserve"> of the ST segment. This eleva</w:t>
      </w:r>
      <w:r w:rsidRPr="00627801">
        <w:t xml:space="preserve">tion indicates a total blockage in a coronary artery, commonly seen in </w:t>
      </w:r>
      <w:r w:rsidR="00316B8A" w:rsidRPr="00627801">
        <w:t>ST-segment elevation myocardial infarction (STEMI) cases</w:t>
      </w:r>
      <w:r w:rsidR="007B2093" w:rsidRPr="00627801">
        <w:t xml:space="preserve"> (Al-Zaiti et al., 2023)</w:t>
      </w:r>
      <w:r w:rsidRPr="00627801">
        <w:t>. This elevation signifies arterial blockage.</w:t>
      </w:r>
      <w:r w:rsidR="00316B8A" w:rsidRPr="00627801">
        <w:t xml:space="preserve"> </w:t>
      </w:r>
      <w:r w:rsidRPr="00627801">
        <w:t xml:space="preserve">T-wave alterations can </w:t>
      </w:r>
      <w:r w:rsidR="00316B8A" w:rsidRPr="00627801">
        <w:t>also be detected through electrocardiography (EKG)</w:t>
      </w:r>
      <w:r w:rsidRPr="00627801">
        <w:t>. These alterations can appear as T-wave inversion or flattening. Changes in the T-wave pattern may suggest ischemia or myocardial injury.</w:t>
      </w:r>
    </w:p>
    <w:p w14:paraId="3CF734EE" w14:textId="7F143EA3" w:rsidR="00DC3FD9" w:rsidRPr="00627801" w:rsidRDefault="00526C77" w:rsidP="00627801">
      <w:r w:rsidRPr="00627801">
        <w:t xml:space="preserve">Q-waves indicate myocardial necrosis, signifying tissue death in the cardiac muscle. They can strongly </w:t>
      </w:r>
      <w:r w:rsidRPr="00627801">
        <w:t xml:space="preserve">indicate a significant myocardial infarction. ST-segment depression is observed on the EKG, which is </w:t>
      </w:r>
      <w:r w:rsidR="00316B8A" w:rsidRPr="00627801">
        <w:t>an important</w:t>
      </w:r>
      <w:r w:rsidRPr="00627801">
        <w:t xml:space="preserve"> finding. This change may indicate subendocardial ischemia, which has the potential to progress to a more severe myocardial infarction. These E</w:t>
      </w:r>
      <w:r w:rsidRPr="00627801">
        <w:t xml:space="preserve">KG findings aid in diagnosing acute myocardial infarctions, allowing medical professionals </w:t>
      </w:r>
      <w:r w:rsidR="00316B8A" w:rsidRPr="00627801">
        <w:t>to quickly identify and respond to cardiac emergencies</w:t>
      </w:r>
      <w:r w:rsidRPr="00627801">
        <w:t>.</w:t>
      </w:r>
    </w:p>
    <w:p w14:paraId="72B6617B" w14:textId="45839BF7" w:rsidR="00DC3FD9" w:rsidRPr="00627801" w:rsidRDefault="00526C77" w:rsidP="00627801">
      <w:pPr>
        <w:ind w:firstLine="0"/>
        <w:rPr>
          <w:b/>
          <w:bCs/>
        </w:rPr>
      </w:pPr>
      <w:r w:rsidRPr="00627801">
        <w:rPr>
          <w:b/>
          <w:bCs/>
        </w:rPr>
        <w:lastRenderedPageBreak/>
        <w:t>Specific Laboratory Test to Confirm Acute Myocardial Infarction</w:t>
      </w:r>
    </w:p>
    <w:p w14:paraId="3178A65B" w14:textId="22E05635" w:rsidR="00DC3FD9" w:rsidRPr="00627801" w:rsidRDefault="00526C77" w:rsidP="00627801">
      <w:r w:rsidRPr="00627801">
        <w:t>The troponin assay is the most specific labor</w:t>
      </w:r>
      <w:r w:rsidRPr="00627801">
        <w:t>atory test for confirming an acute myocardial infarction. Troponin, a cardiac biomarker, is released into the bloodstream in response to myocardial injury. Troponin levels increase shortly after symptom onset and persist for several days as a dependable ma</w:t>
      </w:r>
      <w:r w:rsidRPr="00627801">
        <w:t>rker for cardiac damage. Serial troponin measurements are commonly used to evaluate the severity and advancement of heart muscle injury.</w:t>
      </w:r>
    </w:p>
    <w:p w14:paraId="7C92CA85" w14:textId="18D167E2" w:rsidR="00DC3FD9" w:rsidRPr="00627801" w:rsidRDefault="00526C77" w:rsidP="00627801">
      <w:pPr>
        <w:ind w:firstLine="0"/>
        <w:rPr>
          <w:b/>
          <w:bCs/>
        </w:rPr>
      </w:pPr>
      <w:r w:rsidRPr="00627801">
        <w:rPr>
          <w:b/>
          <w:bCs/>
        </w:rPr>
        <w:t>Elevated Temperature Following Myocardial Infarction (MI) and Pathophysiology</w:t>
      </w:r>
    </w:p>
    <w:p w14:paraId="26704BE0" w14:textId="11050756" w:rsidR="00DC3FD9" w:rsidRPr="00627801" w:rsidRDefault="00526C77" w:rsidP="00627801">
      <w:r w:rsidRPr="00627801">
        <w:t>The rise in Mr. W.G.'s body temperature f</w:t>
      </w:r>
      <w:r w:rsidRPr="00627801">
        <w:t>ollowing his heart attack is likely due to an inflammatory reaction caused by the damage to his cardiac tissue</w:t>
      </w:r>
      <w:r w:rsidR="007B2093" w:rsidRPr="00627801">
        <w:t xml:space="preserve"> (Ojha &amp; Dhamoon, 2021)</w:t>
      </w:r>
      <w:r w:rsidRPr="00627801">
        <w:t>. A heart attack triggers the release of cytokines and inflammatory mediators, which are components of the body's immune re</w:t>
      </w:r>
      <w:r w:rsidRPr="00627801">
        <w:t xml:space="preserve">sponse. The inflammatory cascade may induce a mild fever or increased body temperature, a typical </w:t>
      </w:r>
      <w:r w:rsidR="00316B8A" w:rsidRPr="00627801">
        <w:t>reaction</w:t>
      </w:r>
      <w:r w:rsidRPr="00627801">
        <w:t xml:space="preserve"> to tissue injury. The heightened temperature typically diminishes after a few days as the inflammation resolves.</w:t>
      </w:r>
    </w:p>
    <w:p w14:paraId="3D1B9815" w14:textId="6F930853" w:rsidR="00DC3FD9" w:rsidRPr="00627801" w:rsidRDefault="00526C77" w:rsidP="00627801">
      <w:pPr>
        <w:ind w:firstLine="0"/>
        <w:rPr>
          <w:b/>
          <w:bCs/>
        </w:rPr>
      </w:pPr>
      <w:r w:rsidRPr="00627801">
        <w:rPr>
          <w:b/>
          <w:bCs/>
        </w:rPr>
        <w:t xml:space="preserve">Explanation of Pain </w:t>
      </w:r>
      <w:r w:rsidR="00627801" w:rsidRPr="00627801">
        <w:rPr>
          <w:b/>
          <w:bCs/>
        </w:rPr>
        <w:t>during</w:t>
      </w:r>
      <w:r w:rsidRPr="00627801">
        <w:rPr>
          <w:b/>
          <w:bCs/>
        </w:rPr>
        <w:t xml:space="preserve"> Myocardia</w:t>
      </w:r>
      <w:r w:rsidRPr="00627801">
        <w:rPr>
          <w:b/>
          <w:bCs/>
        </w:rPr>
        <w:t>l Infarction</w:t>
      </w:r>
    </w:p>
    <w:p w14:paraId="0467D3EA" w14:textId="7C6AEF13" w:rsidR="00592651" w:rsidRPr="00627801" w:rsidRDefault="00526C77" w:rsidP="00627801">
      <w:r w:rsidRPr="00627801">
        <w:t>Mr. W.G.'s chest pain during myocardial infarction is primarily due to myocardial ischemia. Reduced blood flow to the heart muscle causes oxygen deprivation</w:t>
      </w:r>
      <w:r w:rsidR="00316B8A" w:rsidRPr="00627801">
        <w:t xml:space="preserve"> and</w:t>
      </w:r>
      <w:r w:rsidRPr="00627801">
        <w:t xml:space="preserve"> tissue damage. Ischemia </w:t>
      </w:r>
      <w:r w:rsidR="00316B8A" w:rsidRPr="00627801">
        <w:t>liberates</w:t>
      </w:r>
      <w:r w:rsidRPr="00627801">
        <w:t xml:space="preserve"> pain-provoking substances such as adenosine and </w:t>
      </w:r>
      <w:r w:rsidRPr="00627801">
        <w:t>bradykinin, which activate pain receptors (nociceptors) in the heart and nearby regions</w:t>
      </w:r>
      <w:r w:rsidR="007B2093" w:rsidRPr="00627801">
        <w:t xml:space="preserve"> (Ojha &amp; Dhamoon, 2021)</w:t>
      </w:r>
      <w:r w:rsidRPr="00627801">
        <w:t xml:space="preserve">. Nerve </w:t>
      </w:r>
      <w:r w:rsidR="00316B8A" w:rsidRPr="00627801">
        <w:t>fibers</w:t>
      </w:r>
      <w:r w:rsidRPr="00627801">
        <w:t xml:space="preserve"> transmit signals to the brain, </w:t>
      </w:r>
      <w:r w:rsidR="00316B8A" w:rsidRPr="00627801">
        <w:t>interpreting</w:t>
      </w:r>
      <w:r w:rsidRPr="00627801">
        <w:t xml:space="preserve"> the ischemic pain as either discomfort or pressure. Mr. W.G. elucidates that the sensat</w:t>
      </w:r>
      <w:r w:rsidRPr="00627801">
        <w:t>ion may propagate to adjacent regions of the anatomy, including the cervical region and mandible. The pain's intensity and character may vary, but it is commonly described as a crushing sensation caused by substantial stress on the heart tissue.</w:t>
      </w:r>
      <w:r w:rsidRPr="00627801">
        <w:rPr>
          <w:rFonts w:eastAsia="Times New Roman"/>
          <w:b/>
          <w:bCs/>
          <w:kern w:val="0"/>
          <w14:ligatures w14:val="none"/>
        </w:rPr>
        <w:br w:type="page"/>
      </w:r>
    </w:p>
    <w:p w14:paraId="08775CA9" w14:textId="58E2807B" w:rsidR="00592651" w:rsidRPr="00627801" w:rsidRDefault="00526C77" w:rsidP="00627801">
      <w:pPr>
        <w:ind w:firstLine="0"/>
        <w:jc w:val="center"/>
        <w:rPr>
          <w:rFonts w:eastAsia="Times New Roman"/>
          <w:b/>
          <w:bCs/>
          <w:kern w:val="0"/>
          <w14:ligatures w14:val="none"/>
        </w:rPr>
      </w:pPr>
      <w:r w:rsidRPr="00627801">
        <w:rPr>
          <w:rFonts w:eastAsia="Times New Roman"/>
          <w:b/>
          <w:bCs/>
          <w:kern w:val="0"/>
          <w14:ligatures w14:val="none"/>
        </w:rPr>
        <w:lastRenderedPageBreak/>
        <w:t>Reference</w:t>
      </w:r>
      <w:r w:rsidRPr="00627801">
        <w:rPr>
          <w:rFonts w:eastAsia="Times New Roman"/>
          <w:b/>
          <w:bCs/>
          <w:kern w:val="0"/>
          <w14:ligatures w14:val="none"/>
        </w:rPr>
        <w:t>s</w:t>
      </w:r>
    </w:p>
    <w:p w14:paraId="662A653B" w14:textId="77777777" w:rsidR="00592651" w:rsidRPr="00627801" w:rsidRDefault="00526C77" w:rsidP="00627801">
      <w:pPr>
        <w:ind w:left="720" w:hanging="720"/>
        <w:rPr>
          <w:rFonts w:eastAsia="Times New Roman"/>
          <w:kern w:val="0"/>
          <w14:ligatures w14:val="none"/>
        </w:rPr>
      </w:pPr>
      <w:r w:rsidRPr="00627801">
        <w:rPr>
          <w:rFonts w:eastAsia="Times New Roman"/>
          <w:kern w:val="0"/>
          <w14:ligatures w14:val="none"/>
        </w:rPr>
        <w:t>Al-Zaiti, S. S., Martin-Gill, C., Zègre-Hemsey, J. K., Bouzid, Z., Faramand, Z., Alrawashdeh, M. O., Gregg, R. E., Helman, S., Riek, N. T., Kraevsky-Phillips, K., Clermont, G., Akcakaya, M., Sereika, S. M., Van Dam, P., Smith, S. W., Birnbaum, Y., Saba, S.</w:t>
      </w:r>
      <w:r w:rsidRPr="00627801">
        <w:rPr>
          <w:rFonts w:eastAsia="Times New Roman"/>
          <w:kern w:val="0"/>
          <w14:ligatures w14:val="none"/>
        </w:rPr>
        <w:t xml:space="preserve">, Sejdic, E., &amp; Callaway, C. W. (2023). Machine learning for ECG diagnosis and risk stratification of occlusion myocardial infarction. </w:t>
      </w:r>
      <w:r w:rsidRPr="00627801">
        <w:rPr>
          <w:rFonts w:eastAsia="Times New Roman"/>
          <w:i/>
          <w:iCs/>
          <w:kern w:val="0"/>
          <w14:ligatures w14:val="none"/>
        </w:rPr>
        <w:t>Nature Medicine</w:t>
      </w:r>
      <w:r w:rsidRPr="00627801">
        <w:rPr>
          <w:rFonts w:eastAsia="Times New Roman"/>
          <w:kern w:val="0"/>
          <w14:ligatures w14:val="none"/>
        </w:rPr>
        <w:t>, 1–10. https://doi.org/10.1038/s41591-023-02396-3</w:t>
      </w:r>
    </w:p>
    <w:p w14:paraId="037A7E3A" w14:textId="77777777" w:rsidR="00592651" w:rsidRPr="00627801" w:rsidRDefault="00526C77" w:rsidP="00627801">
      <w:pPr>
        <w:ind w:left="720" w:hanging="720"/>
        <w:rPr>
          <w:rFonts w:eastAsia="Times New Roman"/>
          <w:kern w:val="0"/>
          <w14:ligatures w14:val="none"/>
        </w:rPr>
      </w:pPr>
      <w:r w:rsidRPr="00627801">
        <w:rPr>
          <w:rFonts w:eastAsia="Times New Roman"/>
          <w:kern w:val="0"/>
          <w14:ligatures w14:val="none"/>
        </w:rPr>
        <w:t xml:space="preserve">Ojha, N., &amp; Dhamoon, A. S. (2021). </w:t>
      </w:r>
      <w:r w:rsidRPr="00627801">
        <w:rPr>
          <w:rFonts w:eastAsia="Times New Roman"/>
          <w:i/>
          <w:iCs/>
          <w:kern w:val="0"/>
          <w14:ligatures w14:val="none"/>
        </w:rPr>
        <w:t>Myocardial Infarctio</w:t>
      </w:r>
      <w:r w:rsidRPr="00627801">
        <w:rPr>
          <w:rFonts w:eastAsia="Times New Roman"/>
          <w:i/>
          <w:iCs/>
          <w:kern w:val="0"/>
          <w14:ligatures w14:val="none"/>
        </w:rPr>
        <w:t>n</w:t>
      </w:r>
      <w:r w:rsidRPr="00627801">
        <w:rPr>
          <w:rFonts w:eastAsia="Times New Roman"/>
          <w:kern w:val="0"/>
          <w14:ligatures w14:val="none"/>
        </w:rPr>
        <w:t>. PubMed; StatPearls Publishing. https://www.ncbi.nlm.nih.gov/books/NBK537076/#:~:text=Most%20myocardial%20infarctions%20are%20due</w:t>
      </w:r>
    </w:p>
    <w:p w14:paraId="58B13E1C" w14:textId="77777777" w:rsidR="00592651" w:rsidRPr="00627801" w:rsidRDefault="00592651" w:rsidP="00627801"/>
    <w:p w14:paraId="45A64BA8" w14:textId="77777777" w:rsidR="00752FBA" w:rsidRPr="00627801" w:rsidRDefault="00752FBA" w:rsidP="00627801"/>
    <w:p w14:paraId="17B1475F" w14:textId="77777777" w:rsidR="00752FBA" w:rsidRPr="00627801" w:rsidRDefault="00752FBA" w:rsidP="00627801"/>
    <w:p w14:paraId="397BA91E" w14:textId="77777777" w:rsidR="00592651" w:rsidRPr="00627801" w:rsidRDefault="00592651" w:rsidP="00627801">
      <w:pPr>
        <w:ind w:left="720" w:hanging="720"/>
      </w:pPr>
    </w:p>
    <w:p w14:paraId="6E9AF61B" w14:textId="77777777" w:rsidR="00120363" w:rsidRPr="00627801" w:rsidRDefault="00120363" w:rsidP="00627801"/>
    <w:p w14:paraId="647F93E4" w14:textId="77777777" w:rsidR="00C94382" w:rsidRPr="00627801" w:rsidRDefault="00C94382" w:rsidP="00627801"/>
    <w:p w14:paraId="667959DB" w14:textId="77777777" w:rsidR="00C94382" w:rsidRPr="00627801" w:rsidRDefault="00C94382" w:rsidP="00627801"/>
    <w:p w14:paraId="3AD3B862" w14:textId="77777777" w:rsidR="00C94382" w:rsidRPr="00627801" w:rsidRDefault="00C94382" w:rsidP="00627801">
      <w:bookmarkStart w:id="0" w:name="_GoBack"/>
      <w:bookmarkEnd w:id="0"/>
    </w:p>
    <w:sectPr w:rsidR="00C94382" w:rsidRPr="0062780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BCCB84" w14:textId="77777777" w:rsidR="00526C77" w:rsidRDefault="00526C77">
      <w:pPr>
        <w:spacing w:line="240" w:lineRule="auto"/>
      </w:pPr>
      <w:r>
        <w:separator/>
      </w:r>
    </w:p>
  </w:endnote>
  <w:endnote w:type="continuationSeparator" w:id="0">
    <w:p w14:paraId="3E08A66B" w14:textId="77777777" w:rsidR="00526C77" w:rsidRDefault="00526C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F424EA" w14:textId="77777777" w:rsidR="00526C77" w:rsidRDefault="00526C77">
      <w:pPr>
        <w:spacing w:line="240" w:lineRule="auto"/>
      </w:pPr>
      <w:r>
        <w:separator/>
      </w:r>
    </w:p>
  </w:footnote>
  <w:footnote w:type="continuationSeparator" w:id="0">
    <w:p w14:paraId="7BE56AD7" w14:textId="77777777" w:rsidR="00526C77" w:rsidRDefault="00526C7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5527094"/>
      <w:docPartObj>
        <w:docPartGallery w:val="Page Numbers (Top of Page)"/>
        <w:docPartUnique/>
      </w:docPartObj>
    </w:sdtPr>
    <w:sdtEndPr>
      <w:rPr>
        <w:noProof/>
      </w:rPr>
    </w:sdtEndPr>
    <w:sdtContent>
      <w:p w14:paraId="34956EF8" w14:textId="16CA1253" w:rsidR="00F46AA9" w:rsidRDefault="00526C77">
        <w:pPr>
          <w:pStyle w:val="Header"/>
          <w:jc w:val="right"/>
        </w:pPr>
        <w:r>
          <w:fldChar w:fldCharType="begin"/>
        </w:r>
        <w:r>
          <w:instrText xml:space="preserve"> PAGE   \* MERGEFORMAT </w:instrText>
        </w:r>
        <w:r>
          <w:fldChar w:fldCharType="separate"/>
        </w:r>
        <w:r w:rsidR="00627801">
          <w:rPr>
            <w:noProof/>
          </w:rPr>
          <w:t>8</w:t>
        </w:r>
        <w:r>
          <w:rPr>
            <w:noProof/>
          </w:rPr>
          <w:fldChar w:fldCharType="end"/>
        </w:r>
      </w:p>
    </w:sdtContent>
  </w:sdt>
  <w:p w14:paraId="3AEAA206" w14:textId="77777777" w:rsidR="00F46AA9" w:rsidRDefault="00F46AA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382"/>
    <w:rsid w:val="0000592B"/>
    <w:rsid w:val="00120363"/>
    <w:rsid w:val="0013070C"/>
    <w:rsid w:val="002A20B3"/>
    <w:rsid w:val="00316B8A"/>
    <w:rsid w:val="003429DA"/>
    <w:rsid w:val="004013B0"/>
    <w:rsid w:val="00462433"/>
    <w:rsid w:val="00526C77"/>
    <w:rsid w:val="00592651"/>
    <w:rsid w:val="005D10FB"/>
    <w:rsid w:val="00600B51"/>
    <w:rsid w:val="00627801"/>
    <w:rsid w:val="00637FAB"/>
    <w:rsid w:val="00752FBA"/>
    <w:rsid w:val="007A6F67"/>
    <w:rsid w:val="007B2093"/>
    <w:rsid w:val="008D0ECD"/>
    <w:rsid w:val="008F1DB2"/>
    <w:rsid w:val="009D7AFF"/>
    <w:rsid w:val="00B47E7E"/>
    <w:rsid w:val="00C94382"/>
    <w:rsid w:val="00CE1E44"/>
    <w:rsid w:val="00CE721F"/>
    <w:rsid w:val="00D434D0"/>
    <w:rsid w:val="00D86C67"/>
    <w:rsid w:val="00DC3FD9"/>
    <w:rsid w:val="00F0124D"/>
    <w:rsid w:val="00F04ACE"/>
    <w:rsid w:val="00F46AA9"/>
    <w:rsid w:val="00FD535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E60EA"/>
  <w15:chartTrackingRefBased/>
  <w15:docId w15:val="{388D28B7-8F2F-4C30-AED7-167B15D8F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46AA9"/>
    <w:pPr>
      <w:spacing w:before="100" w:beforeAutospacing="1" w:after="100" w:afterAutospacing="1" w:line="240" w:lineRule="auto"/>
      <w:ind w:firstLine="0"/>
    </w:pPr>
    <w:rPr>
      <w:rFonts w:eastAsia="Times New Roman"/>
      <w:kern w:val="0"/>
    </w:rPr>
  </w:style>
  <w:style w:type="paragraph" w:styleId="Header">
    <w:name w:val="header"/>
    <w:basedOn w:val="Normal"/>
    <w:link w:val="HeaderChar"/>
    <w:uiPriority w:val="99"/>
    <w:unhideWhenUsed/>
    <w:rsid w:val="00F46AA9"/>
    <w:pPr>
      <w:tabs>
        <w:tab w:val="center" w:pos="4680"/>
        <w:tab w:val="right" w:pos="9360"/>
      </w:tabs>
      <w:spacing w:line="240" w:lineRule="auto"/>
    </w:pPr>
  </w:style>
  <w:style w:type="character" w:customStyle="1" w:styleId="HeaderChar">
    <w:name w:val="Header Char"/>
    <w:basedOn w:val="DefaultParagraphFont"/>
    <w:link w:val="Header"/>
    <w:uiPriority w:val="99"/>
    <w:rsid w:val="00F46AA9"/>
  </w:style>
  <w:style w:type="paragraph" w:styleId="Footer">
    <w:name w:val="footer"/>
    <w:basedOn w:val="Normal"/>
    <w:link w:val="FooterChar"/>
    <w:uiPriority w:val="99"/>
    <w:unhideWhenUsed/>
    <w:rsid w:val="00F46AA9"/>
    <w:pPr>
      <w:tabs>
        <w:tab w:val="center" w:pos="4680"/>
        <w:tab w:val="right" w:pos="9360"/>
      </w:tabs>
      <w:spacing w:line="240" w:lineRule="auto"/>
    </w:pPr>
  </w:style>
  <w:style w:type="character" w:customStyle="1" w:styleId="FooterChar">
    <w:name w:val="Footer Char"/>
    <w:basedOn w:val="DefaultParagraphFont"/>
    <w:link w:val="Footer"/>
    <w:uiPriority w:val="99"/>
    <w:rsid w:val="00F46AA9"/>
  </w:style>
  <w:style w:type="character" w:styleId="Hyperlink">
    <w:name w:val="Hyperlink"/>
    <w:basedOn w:val="DefaultParagraphFont"/>
    <w:uiPriority w:val="99"/>
    <w:unhideWhenUsed/>
    <w:rsid w:val="00592651"/>
    <w:rPr>
      <w:color w:val="0563C1" w:themeColor="hyperlink"/>
      <w:u w:val="single"/>
    </w:rPr>
  </w:style>
  <w:style w:type="character" w:customStyle="1" w:styleId="UnresolvedMention">
    <w:name w:val="Unresolved Mention"/>
    <w:basedOn w:val="DefaultParagraphFont"/>
    <w:uiPriority w:val="99"/>
    <w:semiHidden/>
    <w:unhideWhenUsed/>
    <w:rsid w:val="005926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155/2023/6406286"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1330</Words>
  <Characters>7587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2023-08-30T20:43:00Z</dcterms:created>
  <dcterms:modified xsi:type="dcterms:W3CDTF">2023-08-30T20:43:00Z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f0cb2ce50cbfe07c61b7212eaf26fc48364d7255b050999e35652116837acb89</vt:lpwstr>
  </property>
</Properties>
</file>